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062"/>
        <w:gridCol w:w="1477"/>
        <w:gridCol w:w="1049"/>
        <w:gridCol w:w="5040"/>
      </w:tblGrid>
      <w:tr w:rsidR="00F85797" w:rsidRPr="00AA78CD" w:rsidTr="00011F1D">
        <w:trPr>
          <w:cantSplit/>
        </w:trPr>
        <w:tc>
          <w:tcPr>
            <w:tcW w:w="9628" w:type="dxa"/>
            <w:gridSpan w:val="4"/>
            <w:shd w:val="clear" w:color="auto" w:fill="D9D9D9" w:themeFill="background1" w:themeFillShade="D9"/>
          </w:tcPr>
          <w:p w:rsidR="00F85797" w:rsidRPr="00AA78CD" w:rsidRDefault="00333C21" w:rsidP="00A571B3">
            <w:pPr>
              <w:spacing w:before="0" w:after="0"/>
              <w:rPr>
                <w:b/>
                <w:sz w:val="22"/>
                <w:szCs w:val="22"/>
              </w:rPr>
            </w:pPr>
            <w:r w:rsidRPr="00AA78CD">
              <w:rPr>
                <w:b/>
                <w:sz w:val="22"/>
                <w:szCs w:val="22"/>
              </w:rPr>
              <w:t xml:space="preserve">Angaben </w:t>
            </w:r>
            <w:r w:rsidR="00131F14">
              <w:rPr>
                <w:b/>
                <w:sz w:val="22"/>
                <w:szCs w:val="22"/>
              </w:rPr>
              <w:t>z</w:t>
            </w:r>
            <w:r w:rsidR="00131F14" w:rsidRPr="00131F14">
              <w:rPr>
                <w:b/>
                <w:sz w:val="22"/>
                <w:szCs w:val="22"/>
              </w:rPr>
              <w:t>ur fremdprüfenden Stelle</w:t>
            </w:r>
          </w:p>
        </w:tc>
      </w:tr>
      <w:tr w:rsidR="00F85797" w:rsidRPr="005A42E9" w:rsidTr="00011F1D">
        <w:trPr>
          <w:cantSplit/>
        </w:trPr>
        <w:tc>
          <w:tcPr>
            <w:tcW w:w="2062" w:type="dxa"/>
          </w:tcPr>
          <w:p w:rsidR="00F85797" w:rsidRPr="00011F1D" w:rsidRDefault="00F85797" w:rsidP="00A571B3">
            <w:pPr>
              <w:overflowPunct w:val="0"/>
              <w:autoSpaceDE w:val="0"/>
              <w:autoSpaceDN w:val="0"/>
              <w:adjustRightInd w:val="0"/>
              <w:spacing w:before="0" w:after="0"/>
              <w:textAlignment w:val="baseline"/>
              <w:rPr>
                <w:rFonts w:cs="Arial"/>
              </w:rPr>
            </w:pPr>
            <w:r w:rsidRPr="00011F1D">
              <w:rPr>
                <w:rFonts w:cs="Arial"/>
                <w:bCs/>
              </w:rPr>
              <w:t>Name:</w:t>
            </w:r>
          </w:p>
        </w:tc>
        <w:tc>
          <w:tcPr>
            <w:tcW w:w="7566" w:type="dxa"/>
            <w:gridSpan w:val="3"/>
            <w:shd w:val="clear" w:color="auto" w:fill="DEEAF6"/>
          </w:tcPr>
          <w:p w:rsidR="00F85797" w:rsidRPr="00011F1D" w:rsidRDefault="00F85797" w:rsidP="00A571B3">
            <w:pPr>
              <w:pStyle w:val="Kopfzeile"/>
              <w:overflowPunct w:val="0"/>
              <w:autoSpaceDE w:val="0"/>
              <w:autoSpaceDN w:val="0"/>
              <w:adjustRightInd w:val="0"/>
              <w:spacing w:before="0" w:after="0"/>
              <w:textAlignment w:val="baseline"/>
              <w:rPr>
                <w:rFonts w:ascii="Calibri" w:hAnsi="Calibri" w:cs="Arial"/>
                <w:b/>
                <w:lang w:val="de-DE" w:eastAsia="de-DE"/>
              </w:rPr>
            </w:pPr>
          </w:p>
        </w:tc>
      </w:tr>
      <w:tr w:rsidR="00027B14" w:rsidRPr="003D762F" w:rsidTr="00011F1D">
        <w:trPr>
          <w:cantSplit/>
        </w:trPr>
        <w:tc>
          <w:tcPr>
            <w:tcW w:w="2062" w:type="dxa"/>
            <w:vMerge w:val="restart"/>
          </w:tcPr>
          <w:p w:rsidR="00027B14" w:rsidRPr="00011F1D" w:rsidRDefault="00027B14" w:rsidP="00A571B3">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r w:rsidRPr="00011F1D">
              <w:rPr>
                <w:rFonts w:ascii="Calibri" w:hAnsi="Calibri" w:cs="Arial"/>
                <w:lang w:val="de-DE" w:eastAsia="de-DE"/>
              </w:rPr>
              <w:t>Aktenzeichen:</w:t>
            </w:r>
          </w:p>
        </w:tc>
        <w:tc>
          <w:tcPr>
            <w:tcW w:w="1477" w:type="dxa"/>
            <w:tcBorders>
              <w:right w:val="nil"/>
            </w:tcBorders>
            <w:shd w:val="clear" w:color="auto" w:fill="FFF2CC"/>
          </w:tcPr>
          <w:p w:rsidR="00027B14" w:rsidRPr="00011F1D" w:rsidRDefault="00027B14" w:rsidP="00A571B3">
            <w:pPr>
              <w:pStyle w:val="FVVNR"/>
              <w:spacing w:before="0" w:after="0"/>
              <w:rPr>
                <w:sz w:val="20"/>
              </w:rPr>
            </w:pPr>
          </w:p>
        </w:tc>
        <w:tc>
          <w:tcPr>
            <w:tcW w:w="1049" w:type="dxa"/>
            <w:tcBorders>
              <w:left w:val="nil"/>
              <w:right w:val="nil"/>
            </w:tcBorders>
            <w:shd w:val="clear" w:color="auto" w:fill="FFF2CC"/>
          </w:tcPr>
          <w:p w:rsidR="00027B14" w:rsidRPr="00011F1D" w:rsidRDefault="00027B14" w:rsidP="00A571B3">
            <w:pPr>
              <w:pStyle w:val="FVPhase-2"/>
              <w:spacing w:before="0" w:after="0"/>
            </w:pPr>
          </w:p>
        </w:tc>
        <w:tc>
          <w:tcPr>
            <w:tcW w:w="5040" w:type="dxa"/>
            <w:tcBorders>
              <w:left w:val="nil"/>
            </w:tcBorders>
            <w:shd w:val="clear" w:color="auto" w:fill="FFF2CC"/>
          </w:tcPr>
          <w:p w:rsidR="00027B14" w:rsidRPr="00011F1D" w:rsidRDefault="00027B14" w:rsidP="00A571B3">
            <w:pPr>
              <w:spacing w:before="0" w:after="0"/>
            </w:pPr>
          </w:p>
        </w:tc>
      </w:tr>
      <w:tr w:rsidR="00BA6B83" w:rsidRPr="00BE3E80" w:rsidTr="00011F1D">
        <w:trPr>
          <w:cantSplit/>
          <w:trHeight w:hRule="exact" w:val="215"/>
        </w:trPr>
        <w:tc>
          <w:tcPr>
            <w:tcW w:w="2062" w:type="dxa"/>
            <w:vMerge/>
          </w:tcPr>
          <w:p w:rsidR="00BA6B83" w:rsidRPr="003D762F" w:rsidRDefault="00BA6B83" w:rsidP="00A571B3">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p>
        </w:tc>
        <w:tc>
          <w:tcPr>
            <w:tcW w:w="1477" w:type="dxa"/>
            <w:tcBorders>
              <w:right w:val="nil"/>
            </w:tcBorders>
            <w:tcMar>
              <w:top w:w="0" w:type="dxa"/>
              <w:bottom w:w="0" w:type="dxa"/>
            </w:tcMar>
          </w:tcPr>
          <w:p w:rsidR="00BA6B83" w:rsidRPr="00BE3E80" w:rsidRDefault="00BA6B83" w:rsidP="00A571B3">
            <w:pPr>
              <w:spacing w:before="0" w:after="0"/>
              <w:rPr>
                <w:sz w:val="14"/>
                <w:szCs w:val="14"/>
              </w:rPr>
            </w:pPr>
            <w:r w:rsidRPr="00BE3E80">
              <w:rPr>
                <w:sz w:val="14"/>
                <w:szCs w:val="14"/>
              </w:rPr>
              <w:t>Verfahrensnummer</w:t>
            </w:r>
          </w:p>
        </w:tc>
        <w:tc>
          <w:tcPr>
            <w:tcW w:w="1049" w:type="dxa"/>
            <w:tcBorders>
              <w:left w:val="nil"/>
              <w:right w:val="nil"/>
            </w:tcBorders>
            <w:tcMar>
              <w:top w:w="0" w:type="dxa"/>
              <w:bottom w:w="0" w:type="dxa"/>
            </w:tcMar>
          </w:tcPr>
          <w:p w:rsidR="00BA6B83" w:rsidRPr="00BE3E80" w:rsidRDefault="00BA6B83" w:rsidP="00A571B3">
            <w:pPr>
              <w:spacing w:before="0" w:after="0"/>
              <w:rPr>
                <w:sz w:val="14"/>
                <w:szCs w:val="14"/>
              </w:rPr>
            </w:pPr>
            <w:r w:rsidRPr="00BE3E80">
              <w:rPr>
                <w:sz w:val="14"/>
                <w:szCs w:val="14"/>
              </w:rPr>
              <w:t>Phase</w:t>
            </w:r>
          </w:p>
        </w:tc>
        <w:tc>
          <w:tcPr>
            <w:tcW w:w="5040" w:type="dxa"/>
            <w:tcBorders>
              <w:left w:val="nil"/>
            </w:tcBorders>
            <w:tcMar>
              <w:top w:w="0" w:type="dxa"/>
              <w:bottom w:w="0" w:type="dxa"/>
            </w:tcMar>
          </w:tcPr>
          <w:p w:rsidR="00BA6B83" w:rsidRPr="00BE3E80" w:rsidRDefault="00BA6B83" w:rsidP="00A571B3">
            <w:pPr>
              <w:pStyle w:val="FVPhase"/>
              <w:spacing w:before="0" w:after="0"/>
              <w:rPr>
                <w:b w:val="0"/>
                <w:sz w:val="14"/>
                <w:szCs w:val="14"/>
              </w:rPr>
            </w:pPr>
          </w:p>
        </w:tc>
      </w:tr>
      <w:tr w:rsidR="00F85797" w:rsidRPr="005A42E9" w:rsidTr="00011F1D">
        <w:trPr>
          <w:cantSplit/>
        </w:trPr>
        <w:tc>
          <w:tcPr>
            <w:tcW w:w="2062" w:type="dxa"/>
            <w:tcBorders>
              <w:bottom w:val="single" w:sz="4" w:space="0" w:color="auto"/>
            </w:tcBorders>
          </w:tcPr>
          <w:p w:rsidR="00F85797" w:rsidRPr="00011F1D" w:rsidRDefault="00F85797" w:rsidP="00A571B3">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r w:rsidRPr="00011F1D">
              <w:rPr>
                <w:rFonts w:ascii="Calibri" w:hAnsi="Calibri" w:cs="Arial"/>
                <w:lang w:val="de-DE" w:eastAsia="de-DE"/>
              </w:rPr>
              <w:t>Datum Begutachtung:</w:t>
            </w:r>
          </w:p>
        </w:tc>
        <w:tc>
          <w:tcPr>
            <w:tcW w:w="7566" w:type="dxa"/>
            <w:gridSpan w:val="3"/>
            <w:tcBorders>
              <w:bottom w:val="single" w:sz="4" w:space="0" w:color="auto"/>
            </w:tcBorders>
            <w:shd w:val="clear" w:color="auto" w:fill="FFF2CC"/>
          </w:tcPr>
          <w:p w:rsidR="00F85797" w:rsidRPr="00011F1D" w:rsidRDefault="00F85797" w:rsidP="00A571B3">
            <w:pPr>
              <w:overflowPunct w:val="0"/>
              <w:autoSpaceDE w:val="0"/>
              <w:autoSpaceDN w:val="0"/>
              <w:adjustRightInd w:val="0"/>
              <w:spacing w:before="0" w:after="0"/>
              <w:textAlignment w:val="baseline"/>
              <w:rPr>
                <w:rFonts w:cs="Arial"/>
                <w:bCs/>
              </w:rPr>
            </w:pPr>
          </w:p>
        </w:tc>
      </w:tr>
      <w:tr w:rsidR="00027B14" w:rsidRPr="005A42E9" w:rsidTr="00011F1D">
        <w:trPr>
          <w:cantSplit/>
        </w:trPr>
        <w:tc>
          <w:tcPr>
            <w:tcW w:w="2062" w:type="dxa"/>
            <w:tcBorders>
              <w:bottom w:val="single" w:sz="4" w:space="0" w:color="auto"/>
            </w:tcBorders>
          </w:tcPr>
          <w:p w:rsidR="00027B14" w:rsidRPr="00011F1D" w:rsidRDefault="00027B14" w:rsidP="00A571B3">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r w:rsidRPr="00011F1D">
              <w:rPr>
                <w:rFonts w:ascii="Calibri" w:hAnsi="Calibri" w:cs="Arial"/>
                <w:lang w:val="de-DE" w:eastAsia="de-DE"/>
              </w:rPr>
              <w:t xml:space="preserve">Begutachtungsvorgang: </w:t>
            </w:r>
          </w:p>
        </w:tc>
        <w:tc>
          <w:tcPr>
            <w:tcW w:w="7566" w:type="dxa"/>
            <w:gridSpan w:val="3"/>
            <w:tcBorders>
              <w:bottom w:val="single" w:sz="4" w:space="0" w:color="auto"/>
            </w:tcBorders>
            <w:shd w:val="clear" w:color="auto" w:fill="FFF2CC"/>
          </w:tcPr>
          <w:sdt>
            <w:sdtPr>
              <w:rPr>
                <w:lang w:eastAsia="en-US"/>
              </w:rPr>
              <w:id w:val="-1674336915"/>
              <w:placeholder>
                <w:docPart w:val="763B01B3993342FFA5D8A1DCC861DB1E"/>
              </w:placeholder>
              <w:showingPlcHdr/>
              <w:dropDownList>
                <w:listItem w:value="Wählen Sie ein Element aus."/>
                <w:listItem w:displayText="Erstakkreditierung" w:value="Erstakkreditierung"/>
                <w:listItem w:displayText="Überwachung der Akkreditierung" w:value="Überwachung der Akkreditierung"/>
                <w:listItem w:displayText="Änderung der Akkreditierung" w:value="Änderung der Akkreditierung"/>
                <w:listItem w:displayText="Überwachung und Änderung der Akkreditierung" w:value="Überwachung und Änderung der Akkreditierung"/>
                <w:listItem w:displayText="Reakkreditierung" w:value="Reakkreditierung"/>
                <w:listItem w:displayText="Wiederholungsbegutachtung" w:value="Wiederholungsbegutachtung"/>
                <w:listItem w:displayText="Wiederholungsbegutachtung und Änderung der Akkreditierung" w:value="Wiederholungsbegutachtung und Änderung der Akkreditierung"/>
              </w:dropDownList>
            </w:sdtPr>
            <w:sdtEndPr/>
            <w:sdtContent>
              <w:p w:rsidR="00027B14" w:rsidRPr="00011F1D" w:rsidRDefault="00027B14" w:rsidP="00A571B3">
                <w:pPr>
                  <w:spacing w:before="0" w:after="0"/>
                  <w:rPr>
                    <w:lang w:eastAsia="en-US"/>
                  </w:rPr>
                </w:pPr>
                <w:r w:rsidRPr="00011F1D">
                  <w:rPr>
                    <w:rStyle w:val="Platzhaltertext"/>
                    <w:lang w:eastAsia="en-US"/>
                  </w:rPr>
                  <w:t>Bitte wählen</w:t>
                </w:r>
              </w:p>
            </w:sdtContent>
          </w:sdt>
        </w:tc>
      </w:tr>
    </w:tbl>
    <w:p w:rsidR="00FB2A23" w:rsidRPr="005B7F37" w:rsidRDefault="00FB2A23" w:rsidP="005B7F37">
      <w:pPr>
        <w:tabs>
          <w:tab w:val="left" w:pos="2837"/>
        </w:tabs>
        <w:spacing w:before="0" w:after="0"/>
        <w:rPr>
          <w:sz w:val="22"/>
          <w:szCs w:val="22"/>
        </w:rPr>
      </w:pPr>
    </w:p>
    <w:tbl>
      <w:tblPr>
        <w:tblW w:w="5000" w:type="pct"/>
        <w:tblLayout w:type="fixed"/>
        <w:tblCellMar>
          <w:top w:w="57" w:type="dxa"/>
          <w:left w:w="57" w:type="dxa"/>
          <w:bottom w:w="57" w:type="dxa"/>
          <w:right w:w="57" w:type="dxa"/>
        </w:tblCellMar>
        <w:tblLook w:val="0000" w:firstRow="0" w:lastRow="0" w:firstColumn="0" w:lastColumn="0" w:noHBand="0" w:noVBand="0"/>
      </w:tblPr>
      <w:tblGrid>
        <w:gridCol w:w="9628"/>
      </w:tblGrid>
      <w:tr w:rsidR="000B1D9D" w:rsidRPr="005A621E" w:rsidTr="00FB2A23">
        <w:tc>
          <w:tcPr>
            <w:tcW w:w="9911" w:type="dxa"/>
            <w:tcBorders>
              <w:top w:val="single" w:sz="4" w:space="0" w:color="auto"/>
              <w:left w:val="single" w:sz="4" w:space="0" w:color="auto"/>
              <w:bottom w:val="single" w:sz="4" w:space="0" w:color="auto"/>
              <w:right w:val="single" w:sz="4" w:space="0" w:color="auto"/>
            </w:tcBorders>
            <w:vAlign w:val="center"/>
          </w:tcPr>
          <w:p w:rsidR="003578D1" w:rsidRDefault="00274E43" w:rsidP="00011F1D">
            <w:pPr>
              <w:spacing w:before="0"/>
              <w:rPr>
                <w:rFonts w:cs="Calibri"/>
              </w:rPr>
            </w:pPr>
            <w:r w:rsidRPr="004B6FFB">
              <w:rPr>
                <w:rFonts w:cs="Calibri"/>
              </w:rPr>
              <w:t xml:space="preserve">Diese Checkliste umfasst eine Auflistung der Prüf- und Bewertungsvorschriften, die integraler Bestandteil </w:t>
            </w:r>
            <w:r w:rsidR="00131F14">
              <w:rPr>
                <w:rFonts w:cs="Calibri"/>
              </w:rPr>
              <w:br/>
            </w:r>
            <w:r w:rsidRPr="004B6FFB">
              <w:rPr>
                <w:rFonts w:cs="Calibri"/>
              </w:rPr>
              <w:t>der Inspektions-, Verfahrens- und/oder Arbeitsanleitungen der</w:t>
            </w:r>
            <w:r w:rsidR="004B6FFB" w:rsidRPr="004B6FFB">
              <w:rPr>
                <w:rFonts w:cs="Calibri"/>
              </w:rPr>
              <w:t xml:space="preserve"> fremdprüfenden</w:t>
            </w:r>
            <w:r w:rsidRPr="004B6FFB">
              <w:rPr>
                <w:rFonts w:cs="Calibri"/>
              </w:rPr>
              <w:t xml:space="preserve"> Inspektionsstelle </w:t>
            </w:r>
            <w:r w:rsidR="00616BF4" w:rsidRPr="00616BF4">
              <w:rPr>
                <w:rFonts w:cs="Calibri"/>
                <w:szCs w:val="22"/>
              </w:rPr>
              <w:t xml:space="preserve">gemäß </w:t>
            </w:r>
            <w:r w:rsidR="00131F14">
              <w:rPr>
                <w:rFonts w:cs="Calibri"/>
                <w:szCs w:val="22"/>
              </w:rPr>
              <w:br/>
            </w:r>
            <w:r w:rsidR="00616BF4" w:rsidRPr="00616BF4">
              <w:rPr>
                <w:rFonts w:cs="Calibri"/>
                <w:szCs w:val="22"/>
              </w:rPr>
              <w:t xml:space="preserve">Bundeseinheitlichem Qualitätsstandard - BQS 9-1 sowie den auf einzelne Komponenten bezogenen BQS </w:t>
            </w:r>
            <w:r w:rsidR="00131F14">
              <w:rPr>
                <w:rFonts w:cs="Calibri"/>
                <w:szCs w:val="22"/>
              </w:rPr>
              <w:br/>
            </w:r>
            <w:r w:rsidR="00616BF4" w:rsidRPr="00616BF4">
              <w:rPr>
                <w:rFonts w:cs="Calibri"/>
                <w:szCs w:val="22"/>
              </w:rPr>
              <w:t>und Eignungsbeurteilungen der LAGA</w:t>
            </w:r>
            <w:r w:rsidR="00616BF4" w:rsidRPr="004B6FFB">
              <w:rPr>
                <w:rFonts w:cs="Calibri"/>
              </w:rPr>
              <w:t xml:space="preserve"> </w:t>
            </w:r>
            <w:r w:rsidRPr="004B6FFB">
              <w:rPr>
                <w:rFonts w:cs="Calibri"/>
              </w:rPr>
              <w:t>sein müssen</w:t>
            </w:r>
            <w:r w:rsidR="004B6FFB" w:rsidRPr="004B6FFB">
              <w:rPr>
                <w:rFonts w:cs="Calibri"/>
              </w:rPr>
              <w:t xml:space="preserve">. </w:t>
            </w:r>
          </w:p>
          <w:p w:rsidR="000B1D9D" w:rsidRPr="005A621E" w:rsidRDefault="004B6FFB" w:rsidP="00FB2A23">
            <w:pPr>
              <w:rPr>
                <w:rFonts w:cs="Arial"/>
                <w:sz w:val="22"/>
                <w:szCs w:val="22"/>
              </w:rPr>
            </w:pPr>
            <w:r w:rsidRPr="001E1A65">
              <w:rPr>
                <w:rFonts w:cs="Calibri"/>
                <w:b/>
              </w:rPr>
              <w:t xml:space="preserve">Die Checkliste </w:t>
            </w:r>
            <w:r w:rsidR="00274E43" w:rsidRPr="001E1A65">
              <w:rPr>
                <w:rFonts w:cs="Calibri"/>
                <w:b/>
              </w:rPr>
              <w:t>ist nur zur internen Verwendung und Unterstü</w:t>
            </w:r>
            <w:r w:rsidRPr="001E1A65">
              <w:rPr>
                <w:rFonts w:cs="Calibri"/>
                <w:b/>
              </w:rPr>
              <w:t>tzung der Begutachtung gedacht.</w:t>
            </w:r>
            <w:r w:rsidRPr="004B6FFB">
              <w:rPr>
                <w:rFonts w:cs="Calibri"/>
              </w:rPr>
              <w:t xml:space="preserve"> </w:t>
            </w:r>
            <w:r w:rsidR="00616BF4">
              <w:rPr>
                <w:rFonts w:cs="Calibri"/>
              </w:rPr>
              <w:br/>
            </w:r>
            <w:r w:rsidRPr="004B6FFB">
              <w:rPr>
                <w:rFonts w:cs="Calibri"/>
              </w:rPr>
              <w:t>Die blauen Spalten sind vor der Begutachtung durch die Inspektionsstelle auszufüllen.</w:t>
            </w:r>
            <w:r w:rsidR="00274E43" w:rsidRPr="00274E43">
              <w:rPr>
                <w:rFonts w:cs="Calibri"/>
                <w:b/>
              </w:rPr>
              <w:t xml:space="preserve"> </w:t>
            </w:r>
          </w:p>
        </w:tc>
      </w:tr>
    </w:tbl>
    <w:p w:rsidR="00FB2A23" w:rsidRPr="005B7F37" w:rsidRDefault="00FB2A23" w:rsidP="005B7F37">
      <w:pPr>
        <w:tabs>
          <w:tab w:val="left" w:pos="2837"/>
        </w:tabs>
        <w:spacing w:before="0" w:after="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26"/>
        <w:gridCol w:w="5240"/>
        <w:gridCol w:w="2976"/>
        <w:gridCol w:w="986"/>
      </w:tblGrid>
      <w:tr w:rsidR="00AE0BD9" w:rsidRPr="00BD4F1B" w:rsidTr="009563D1">
        <w:trPr>
          <w:cantSplit/>
          <w:tblHeader/>
        </w:trPr>
        <w:tc>
          <w:tcPr>
            <w:tcW w:w="9628" w:type="dxa"/>
            <w:gridSpan w:val="4"/>
            <w:shd w:val="clear" w:color="auto" w:fill="D0CECE" w:themeFill="background2" w:themeFillShade="E6"/>
          </w:tcPr>
          <w:p w:rsidR="00AE0BD9" w:rsidRPr="00BD4F1B" w:rsidRDefault="00AE0BD9" w:rsidP="00011F1D">
            <w:pPr>
              <w:keepNext/>
              <w:spacing w:before="0" w:after="0"/>
              <w:rPr>
                <w:sz w:val="16"/>
                <w:szCs w:val="16"/>
              </w:rPr>
            </w:pPr>
            <w:r w:rsidRPr="00BD4F1B">
              <w:rPr>
                <w:rFonts w:cs="Calibri"/>
                <w:b/>
                <w:szCs w:val="22"/>
              </w:rPr>
              <w:t>Prüf- und Bewertungsvorschriften, die integraler Bestandteil der Inspektions-, Verfahrens- und Arbeitsanleitungen der IS sein müssen (</w:t>
            </w:r>
            <w:r w:rsidR="007F1C3A">
              <w:rPr>
                <w:rFonts w:cs="Calibri"/>
                <w:b/>
                <w:szCs w:val="22"/>
              </w:rPr>
              <w:t xml:space="preserve">BQS 9-1, </w:t>
            </w:r>
            <w:r w:rsidRPr="00BD4F1B">
              <w:rPr>
                <w:rFonts w:cs="Calibri"/>
                <w:b/>
                <w:szCs w:val="22"/>
              </w:rPr>
              <w:t xml:space="preserve">Tabelle 3 </w:t>
            </w:r>
            <w:r w:rsidR="007F1C3A">
              <w:rPr>
                <w:rFonts w:cs="Calibri"/>
                <w:b/>
                <w:szCs w:val="22"/>
              </w:rPr>
              <w:t>-</w:t>
            </w:r>
            <w:r w:rsidR="00675863">
              <w:rPr>
                <w:rFonts w:cs="Calibri"/>
                <w:b/>
                <w:szCs w:val="22"/>
              </w:rPr>
              <w:t xml:space="preserve"> </w:t>
            </w:r>
            <w:r w:rsidR="0018332C">
              <w:rPr>
                <w:rFonts w:cs="Calibri"/>
                <w:b/>
                <w:szCs w:val="22"/>
              </w:rPr>
              <w:t>ohne zusätzliche Anforderungen aus Tabelle 4 Asphaltabdichtungen und Tabelle 5</w:t>
            </w:r>
            <w:r w:rsidRPr="00BD4F1B">
              <w:rPr>
                <w:rFonts w:cs="Calibri"/>
                <w:b/>
                <w:szCs w:val="22"/>
              </w:rPr>
              <w:t xml:space="preserve"> Geotextilien zum Trennen und Filtern)</w:t>
            </w:r>
          </w:p>
        </w:tc>
      </w:tr>
      <w:tr w:rsidR="00CB0E95" w:rsidRPr="00BD4F1B" w:rsidTr="009563D1">
        <w:trPr>
          <w:cantSplit/>
          <w:tblHeader/>
        </w:trPr>
        <w:tc>
          <w:tcPr>
            <w:tcW w:w="426" w:type="dxa"/>
            <w:shd w:val="clear" w:color="auto" w:fill="F2F2F2" w:themeFill="background1" w:themeFillShade="F2"/>
          </w:tcPr>
          <w:p w:rsidR="00CB0E95" w:rsidRPr="00BD4F1B" w:rsidRDefault="00CB0E95" w:rsidP="00011F1D">
            <w:pPr>
              <w:keepNext/>
              <w:spacing w:before="0" w:after="0"/>
              <w:jc w:val="center"/>
              <w:rPr>
                <w:sz w:val="16"/>
                <w:szCs w:val="16"/>
              </w:rPr>
            </w:pPr>
          </w:p>
        </w:tc>
        <w:tc>
          <w:tcPr>
            <w:tcW w:w="5240" w:type="dxa"/>
            <w:shd w:val="clear" w:color="auto" w:fill="F2F2F2" w:themeFill="background1" w:themeFillShade="F2"/>
          </w:tcPr>
          <w:p w:rsidR="00A571B3" w:rsidRPr="00D47DD8" w:rsidRDefault="00CB0E95" w:rsidP="00011F1D">
            <w:pPr>
              <w:keepNext/>
              <w:autoSpaceDE w:val="0"/>
              <w:autoSpaceDN w:val="0"/>
              <w:adjustRightInd w:val="0"/>
              <w:spacing w:before="0" w:after="0"/>
              <w:rPr>
                <w:rFonts w:cs="Calibri"/>
                <w:b/>
                <w:szCs w:val="22"/>
              </w:rPr>
            </w:pPr>
            <w:r w:rsidRPr="00BD4F1B">
              <w:rPr>
                <w:rFonts w:cs="Calibri"/>
                <w:b/>
                <w:szCs w:val="22"/>
              </w:rPr>
              <w:t>Norm / Gegenstand</w:t>
            </w:r>
            <w:r w:rsidR="00D47DD8" w:rsidRPr="00D47DD8">
              <w:rPr>
                <w:rFonts w:cs="Calibri"/>
                <w:b/>
                <w:szCs w:val="22"/>
                <w:vertAlign w:val="superscript"/>
              </w:rPr>
              <w:t>1</w:t>
            </w:r>
          </w:p>
        </w:tc>
        <w:tc>
          <w:tcPr>
            <w:tcW w:w="2976" w:type="dxa"/>
            <w:shd w:val="clear" w:color="auto" w:fill="F2F2F2" w:themeFill="background1" w:themeFillShade="F2"/>
          </w:tcPr>
          <w:p w:rsidR="00CB0E95" w:rsidRPr="00BD4F1B" w:rsidRDefault="00CB0E95" w:rsidP="00011F1D">
            <w:pPr>
              <w:keepNext/>
              <w:spacing w:before="0" w:after="0"/>
              <w:rPr>
                <w:b/>
              </w:rPr>
            </w:pPr>
            <w:r w:rsidRPr="00BD4F1B">
              <w:rPr>
                <w:b/>
              </w:rPr>
              <w:t xml:space="preserve">Regel / Inspektionsanweisung </w:t>
            </w:r>
          </w:p>
        </w:tc>
        <w:tc>
          <w:tcPr>
            <w:tcW w:w="986" w:type="dxa"/>
            <w:shd w:val="clear" w:color="auto" w:fill="F2F2F2" w:themeFill="background1" w:themeFillShade="F2"/>
          </w:tcPr>
          <w:p w:rsidR="00CB0E95" w:rsidRPr="00982334" w:rsidRDefault="00CB0E95" w:rsidP="00011F1D">
            <w:pPr>
              <w:keepNext/>
              <w:spacing w:before="0" w:after="0"/>
            </w:pPr>
            <w:r w:rsidRPr="00CB0E95">
              <w:rPr>
                <w:b/>
              </w:rPr>
              <w:t>Quelle</w:t>
            </w:r>
          </w:p>
        </w:tc>
      </w:tr>
      <w:tr w:rsidR="00CB0E95" w:rsidRPr="00BD4F1B" w:rsidTr="009563D1">
        <w:trPr>
          <w:cantSplit/>
        </w:trPr>
        <w:tc>
          <w:tcPr>
            <w:tcW w:w="426" w:type="dxa"/>
            <w:shd w:val="clear" w:color="auto" w:fill="auto"/>
          </w:tcPr>
          <w:p w:rsidR="00CB0E95" w:rsidRPr="007F1C3A" w:rsidRDefault="00CB0E95" w:rsidP="009563D1">
            <w:pPr>
              <w:spacing w:before="0" w:after="0"/>
              <w:jc w:val="center"/>
            </w:pPr>
            <w:r w:rsidRPr="007F1C3A">
              <w:t>1</w:t>
            </w:r>
          </w:p>
        </w:tc>
        <w:tc>
          <w:tcPr>
            <w:tcW w:w="5240" w:type="dxa"/>
            <w:shd w:val="clear" w:color="auto" w:fill="auto"/>
          </w:tcPr>
          <w:p w:rsidR="00CB0E95" w:rsidRPr="00BD4F1B" w:rsidRDefault="00CB0E95" w:rsidP="009563D1">
            <w:pPr>
              <w:autoSpaceDE w:val="0"/>
              <w:autoSpaceDN w:val="0"/>
              <w:adjustRightInd w:val="0"/>
              <w:spacing w:before="0" w:after="0"/>
              <w:rPr>
                <w:rFonts w:cs="Arial"/>
              </w:rPr>
            </w:pPr>
            <w:r w:rsidRPr="00BD4F1B">
              <w:rPr>
                <w:rFonts w:cs="Arial"/>
              </w:rPr>
              <w:t xml:space="preserve">DIN EN ISO 14688-1 - </w:t>
            </w:r>
            <w:r w:rsidR="0018332C" w:rsidRPr="00432C86">
              <w:rPr>
                <w:rFonts w:asciiTheme="minorHAnsi" w:hAnsiTheme="minorHAnsi" w:cstheme="minorHAnsi"/>
              </w:rPr>
              <w:t>Geotechnische Erkundung und Unt</w:t>
            </w:r>
            <w:r w:rsidR="0018332C">
              <w:rPr>
                <w:rFonts w:asciiTheme="minorHAnsi" w:hAnsiTheme="minorHAnsi" w:cstheme="minorHAnsi"/>
              </w:rPr>
              <w:t>ersuchung - Benennung, Beschrei</w:t>
            </w:r>
            <w:r w:rsidR="0018332C" w:rsidRPr="00432C86">
              <w:rPr>
                <w:rFonts w:asciiTheme="minorHAnsi" w:hAnsiTheme="minorHAnsi" w:cstheme="minorHAnsi"/>
              </w:rPr>
              <w:t>bung und Klassifizierung von Boden - Teil 1: Benennung und Beschreibung</w:t>
            </w:r>
          </w:p>
        </w:tc>
        <w:tc>
          <w:tcPr>
            <w:tcW w:w="2976" w:type="dxa"/>
            <w:shd w:val="clear" w:color="auto" w:fill="DEEAF6"/>
          </w:tcPr>
          <w:p w:rsidR="00CB0E95" w:rsidRPr="00BD4F1B" w:rsidRDefault="00CB0E95" w:rsidP="009563D1">
            <w:pPr>
              <w:spacing w:before="0" w:after="0"/>
              <w:rPr>
                <w:sz w:val="16"/>
                <w:szCs w:val="16"/>
              </w:rPr>
            </w:pPr>
          </w:p>
        </w:tc>
        <w:tc>
          <w:tcPr>
            <w:tcW w:w="986" w:type="dxa"/>
            <w:shd w:val="clear" w:color="auto" w:fill="auto"/>
          </w:tcPr>
          <w:p w:rsidR="00CB0E95" w:rsidRPr="00982334" w:rsidRDefault="00CB0E95" w:rsidP="009563D1">
            <w:pPr>
              <w:spacing w:before="0" w:after="0"/>
            </w:pPr>
            <w:r w:rsidRPr="00982334">
              <w:t>BQS 9-1</w:t>
            </w:r>
          </w:p>
        </w:tc>
      </w:tr>
      <w:tr w:rsidR="00CB0E95" w:rsidRPr="00BD4F1B" w:rsidTr="009563D1">
        <w:trPr>
          <w:cantSplit/>
        </w:trPr>
        <w:tc>
          <w:tcPr>
            <w:tcW w:w="426" w:type="dxa"/>
            <w:shd w:val="clear" w:color="auto" w:fill="auto"/>
          </w:tcPr>
          <w:p w:rsidR="00CB0E95" w:rsidRPr="007F1C3A" w:rsidRDefault="00CB0E95" w:rsidP="009563D1">
            <w:pPr>
              <w:spacing w:before="0" w:after="0"/>
              <w:jc w:val="center"/>
            </w:pPr>
            <w:r w:rsidRPr="007F1C3A">
              <w:t>2</w:t>
            </w:r>
          </w:p>
        </w:tc>
        <w:tc>
          <w:tcPr>
            <w:tcW w:w="5240" w:type="dxa"/>
            <w:shd w:val="clear" w:color="auto" w:fill="auto"/>
          </w:tcPr>
          <w:p w:rsidR="00CB0E95" w:rsidRPr="00BD4F1B" w:rsidRDefault="00CB0E95" w:rsidP="009563D1">
            <w:pPr>
              <w:autoSpaceDE w:val="0"/>
              <w:autoSpaceDN w:val="0"/>
              <w:adjustRightInd w:val="0"/>
              <w:spacing w:before="0" w:after="0"/>
              <w:rPr>
                <w:rFonts w:cs="Arial"/>
              </w:rPr>
            </w:pPr>
            <w:r w:rsidRPr="00BD4F1B">
              <w:rPr>
                <w:rFonts w:cs="Calibri"/>
                <w:szCs w:val="22"/>
              </w:rPr>
              <w:t>DIN EN 932-1</w:t>
            </w:r>
            <w:r w:rsidR="0018332C">
              <w:rPr>
                <w:rFonts w:cs="Calibri"/>
                <w:szCs w:val="22"/>
              </w:rPr>
              <w:t xml:space="preserve"> - </w:t>
            </w:r>
            <w:r w:rsidR="0018332C" w:rsidRPr="00432C86">
              <w:rPr>
                <w:rFonts w:asciiTheme="minorHAnsi" w:hAnsiTheme="minorHAnsi" w:cstheme="minorHAnsi"/>
              </w:rPr>
              <w:t>Prüfverfahren für allgemeine Eigenschaften von Gesteinskörnungen - Teil 1: Probenahmeverfahren</w:t>
            </w:r>
          </w:p>
        </w:tc>
        <w:tc>
          <w:tcPr>
            <w:tcW w:w="2976" w:type="dxa"/>
            <w:shd w:val="clear" w:color="auto" w:fill="DEEAF6"/>
          </w:tcPr>
          <w:p w:rsidR="00CB0E95" w:rsidRPr="00BD4F1B" w:rsidRDefault="00CB0E95" w:rsidP="009563D1">
            <w:pPr>
              <w:spacing w:before="0" w:after="0"/>
              <w:rPr>
                <w:sz w:val="16"/>
                <w:szCs w:val="16"/>
              </w:rPr>
            </w:pPr>
          </w:p>
        </w:tc>
        <w:tc>
          <w:tcPr>
            <w:tcW w:w="986" w:type="dxa"/>
            <w:shd w:val="clear" w:color="auto" w:fill="auto"/>
          </w:tcPr>
          <w:p w:rsidR="00CB0E95" w:rsidRPr="00982334" w:rsidRDefault="00CB0E95" w:rsidP="009563D1">
            <w:pPr>
              <w:spacing w:before="0" w:after="0"/>
            </w:pPr>
            <w:r w:rsidRPr="00982334">
              <w:t>BQS 9-1</w:t>
            </w:r>
          </w:p>
        </w:tc>
      </w:tr>
      <w:tr w:rsidR="00CB0E95" w:rsidRPr="00BD4F1B" w:rsidTr="009563D1">
        <w:trPr>
          <w:cantSplit/>
        </w:trPr>
        <w:tc>
          <w:tcPr>
            <w:tcW w:w="426" w:type="dxa"/>
            <w:shd w:val="clear" w:color="auto" w:fill="auto"/>
          </w:tcPr>
          <w:p w:rsidR="00CB0E95" w:rsidRPr="007F1C3A" w:rsidRDefault="00CB0E95" w:rsidP="009563D1">
            <w:pPr>
              <w:spacing w:before="0" w:after="0"/>
              <w:jc w:val="center"/>
            </w:pPr>
            <w:r w:rsidRPr="007F1C3A">
              <w:t>3</w:t>
            </w:r>
          </w:p>
        </w:tc>
        <w:tc>
          <w:tcPr>
            <w:tcW w:w="5240" w:type="dxa"/>
            <w:shd w:val="clear" w:color="auto" w:fill="auto"/>
          </w:tcPr>
          <w:p w:rsidR="00CB0E95" w:rsidRPr="00BD4F1B" w:rsidRDefault="0018332C" w:rsidP="009563D1">
            <w:pPr>
              <w:autoSpaceDE w:val="0"/>
              <w:autoSpaceDN w:val="0"/>
              <w:adjustRightInd w:val="0"/>
              <w:spacing w:before="0" w:after="0"/>
              <w:rPr>
                <w:rFonts w:cs="Arial"/>
              </w:rPr>
            </w:pPr>
            <w:r w:rsidRPr="00432C86">
              <w:rPr>
                <w:rFonts w:asciiTheme="minorHAnsi" w:hAnsiTheme="minorHAnsi" w:cstheme="minorHAnsi"/>
              </w:rPr>
              <w:t>DIN EN 932-2 - Prüfverfahren für allgemeine Eigenschaften von Gesteinskörnungen - Teil 2: Verfahren zum Einengen von Laboratoriumsprobe</w:t>
            </w:r>
            <w:r>
              <w:rPr>
                <w:rFonts w:asciiTheme="minorHAnsi" w:hAnsiTheme="minorHAnsi" w:cstheme="minorHAnsi"/>
              </w:rPr>
              <w:t>n</w:t>
            </w:r>
          </w:p>
        </w:tc>
        <w:tc>
          <w:tcPr>
            <w:tcW w:w="2976" w:type="dxa"/>
            <w:shd w:val="clear" w:color="auto" w:fill="DEEAF6"/>
          </w:tcPr>
          <w:p w:rsidR="00CB0E95" w:rsidRPr="00BD4F1B" w:rsidRDefault="00CB0E95" w:rsidP="009563D1">
            <w:pPr>
              <w:spacing w:before="0" w:after="0"/>
              <w:rPr>
                <w:sz w:val="16"/>
                <w:szCs w:val="16"/>
              </w:rPr>
            </w:pPr>
          </w:p>
        </w:tc>
        <w:tc>
          <w:tcPr>
            <w:tcW w:w="986" w:type="dxa"/>
            <w:shd w:val="clear" w:color="auto" w:fill="auto"/>
          </w:tcPr>
          <w:p w:rsidR="00CB0E95" w:rsidRPr="00982334" w:rsidRDefault="00CB0E95" w:rsidP="009563D1">
            <w:pPr>
              <w:spacing w:before="0" w:after="0"/>
            </w:pPr>
            <w:r w:rsidRPr="00982334">
              <w:t>BQS 9-1</w:t>
            </w:r>
          </w:p>
        </w:tc>
      </w:tr>
      <w:tr w:rsidR="00CB0E95" w:rsidRPr="00BD4F1B" w:rsidTr="009563D1">
        <w:trPr>
          <w:cantSplit/>
        </w:trPr>
        <w:tc>
          <w:tcPr>
            <w:tcW w:w="426" w:type="dxa"/>
            <w:shd w:val="clear" w:color="auto" w:fill="auto"/>
          </w:tcPr>
          <w:p w:rsidR="00CB0E95" w:rsidRPr="007F1C3A" w:rsidRDefault="00CB0E95" w:rsidP="009563D1">
            <w:pPr>
              <w:spacing w:before="0" w:after="0"/>
              <w:jc w:val="center"/>
            </w:pPr>
            <w:r w:rsidRPr="007F1C3A">
              <w:t>4</w:t>
            </w:r>
          </w:p>
        </w:tc>
        <w:tc>
          <w:tcPr>
            <w:tcW w:w="5240" w:type="dxa"/>
            <w:shd w:val="clear" w:color="auto" w:fill="auto"/>
          </w:tcPr>
          <w:p w:rsidR="00CB0E95" w:rsidRPr="00BD4F1B" w:rsidRDefault="0018332C" w:rsidP="009563D1">
            <w:pPr>
              <w:autoSpaceDE w:val="0"/>
              <w:autoSpaceDN w:val="0"/>
              <w:adjustRightInd w:val="0"/>
              <w:spacing w:before="0" w:after="0"/>
              <w:rPr>
                <w:rFonts w:cs="Arial"/>
              </w:rPr>
            </w:pPr>
            <w:r w:rsidRPr="00432C86">
              <w:rPr>
                <w:rFonts w:asciiTheme="minorHAnsi" w:hAnsiTheme="minorHAnsi" w:cstheme="minorHAnsi"/>
              </w:rPr>
              <w:t>DIN EN 1997-2: Eurocode 7: Entwurf, Berechnu</w:t>
            </w:r>
            <w:r w:rsidR="00D03F3C">
              <w:rPr>
                <w:rFonts w:asciiTheme="minorHAnsi" w:hAnsiTheme="minorHAnsi" w:cstheme="minorHAnsi"/>
              </w:rPr>
              <w:t>ng und Bemessung in Geotechnik -</w:t>
            </w:r>
            <w:r w:rsidRPr="00432C86">
              <w:rPr>
                <w:rFonts w:asciiTheme="minorHAnsi" w:hAnsiTheme="minorHAnsi" w:cstheme="minorHAnsi"/>
              </w:rPr>
              <w:t xml:space="preserve"> Teil 2: Erkundung und Untersuchung des Baugrunds</w:t>
            </w:r>
          </w:p>
        </w:tc>
        <w:tc>
          <w:tcPr>
            <w:tcW w:w="2976" w:type="dxa"/>
            <w:shd w:val="clear" w:color="auto" w:fill="DEEAF6"/>
          </w:tcPr>
          <w:p w:rsidR="00CB0E95" w:rsidRPr="00BD4F1B" w:rsidRDefault="00CB0E95" w:rsidP="009563D1">
            <w:pPr>
              <w:spacing w:before="0" w:after="0"/>
              <w:rPr>
                <w:sz w:val="16"/>
                <w:szCs w:val="16"/>
              </w:rPr>
            </w:pPr>
          </w:p>
        </w:tc>
        <w:tc>
          <w:tcPr>
            <w:tcW w:w="986" w:type="dxa"/>
            <w:shd w:val="clear" w:color="auto" w:fill="auto"/>
          </w:tcPr>
          <w:p w:rsidR="00CB0E95" w:rsidRPr="00982334" w:rsidRDefault="00CB0E95" w:rsidP="009563D1">
            <w:pPr>
              <w:spacing w:before="0" w:after="0"/>
            </w:pPr>
            <w:r w:rsidRPr="00982334">
              <w:t>BQS 9-1</w:t>
            </w:r>
          </w:p>
        </w:tc>
      </w:tr>
      <w:tr w:rsidR="00CB0E95" w:rsidRPr="00BD4F1B" w:rsidTr="009563D1">
        <w:trPr>
          <w:cantSplit/>
        </w:trPr>
        <w:tc>
          <w:tcPr>
            <w:tcW w:w="426" w:type="dxa"/>
            <w:shd w:val="clear" w:color="auto" w:fill="auto"/>
          </w:tcPr>
          <w:p w:rsidR="00CB0E95" w:rsidRPr="007F1C3A" w:rsidRDefault="00CB0E95" w:rsidP="009563D1">
            <w:pPr>
              <w:spacing w:before="0" w:after="0"/>
              <w:jc w:val="center"/>
            </w:pPr>
            <w:r w:rsidRPr="007F1C3A">
              <w:t>5</w:t>
            </w:r>
          </w:p>
        </w:tc>
        <w:tc>
          <w:tcPr>
            <w:tcW w:w="5240" w:type="dxa"/>
            <w:shd w:val="clear" w:color="auto" w:fill="auto"/>
          </w:tcPr>
          <w:p w:rsidR="00CB0E95" w:rsidRPr="00BD4F1B" w:rsidRDefault="00CB0E95" w:rsidP="009563D1">
            <w:pPr>
              <w:autoSpaceDE w:val="0"/>
              <w:autoSpaceDN w:val="0"/>
              <w:adjustRightInd w:val="0"/>
              <w:spacing w:before="0" w:after="0"/>
              <w:rPr>
                <w:rFonts w:cs="Arial"/>
              </w:rPr>
            </w:pPr>
            <w:r w:rsidRPr="00BD4F1B">
              <w:rPr>
                <w:rFonts w:cs="Calibri"/>
                <w:szCs w:val="22"/>
              </w:rPr>
              <w:t>DIN EN 12620: Gesteinskörnungen für Beton</w:t>
            </w:r>
          </w:p>
        </w:tc>
        <w:tc>
          <w:tcPr>
            <w:tcW w:w="2976" w:type="dxa"/>
            <w:shd w:val="clear" w:color="auto" w:fill="DEEAF6"/>
          </w:tcPr>
          <w:p w:rsidR="00CB0E95" w:rsidRPr="00BD4F1B" w:rsidRDefault="00CB0E95" w:rsidP="009563D1">
            <w:pPr>
              <w:spacing w:before="0" w:after="0"/>
              <w:rPr>
                <w:sz w:val="16"/>
                <w:szCs w:val="16"/>
              </w:rPr>
            </w:pPr>
          </w:p>
        </w:tc>
        <w:tc>
          <w:tcPr>
            <w:tcW w:w="986" w:type="dxa"/>
            <w:shd w:val="clear" w:color="auto" w:fill="auto"/>
          </w:tcPr>
          <w:p w:rsidR="00CB0E95" w:rsidRPr="00982334" w:rsidRDefault="00CB0E95" w:rsidP="009563D1">
            <w:pPr>
              <w:spacing w:before="0" w:after="0"/>
            </w:pPr>
            <w:r w:rsidRPr="00982334">
              <w:t>BQS 9-1</w:t>
            </w:r>
          </w:p>
        </w:tc>
      </w:tr>
      <w:tr w:rsidR="00CB0E95" w:rsidRPr="00BD4F1B" w:rsidTr="009563D1">
        <w:trPr>
          <w:cantSplit/>
        </w:trPr>
        <w:tc>
          <w:tcPr>
            <w:tcW w:w="426" w:type="dxa"/>
            <w:shd w:val="clear" w:color="auto" w:fill="auto"/>
          </w:tcPr>
          <w:p w:rsidR="00CB0E95" w:rsidRPr="007F1C3A" w:rsidRDefault="00CB0E95" w:rsidP="009563D1">
            <w:pPr>
              <w:spacing w:before="0" w:after="0"/>
              <w:jc w:val="center"/>
            </w:pPr>
            <w:r w:rsidRPr="007F1C3A">
              <w:t>6</w:t>
            </w:r>
          </w:p>
        </w:tc>
        <w:tc>
          <w:tcPr>
            <w:tcW w:w="5240" w:type="dxa"/>
            <w:shd w:val="clear" w:color="auto" w:fill="auto"/>
          </w:tcPr>
          <w:p w:rsidR="00CB0E95" w:rsidRPr="00BD4F1B" w:rsidRDefault="0018332C" w:rsidP="009563D1">
            <w:pPr>
              <w:spacing w:before="0" w:after="0"/>
              <w:rPr>
                <w:rFonts w:cs="Calibri"/>
                <w:szCs w:val="22"/>
              </w:rPr>
            </w:pPr>
            <w:r w:rsidRPr="00BD4F1B">
              <w:rPr>
                <w:rFonts w:cs="Calibri"/>
                <w:szCs w:val="22"/>
              </w:rPr>
              <w:t xml:space="preserve">DIN EN 13493: Geosynthetische Dichtungsbahnen </w:t>
            </w:r>
            <w:r w:rsidR="00FB2A23">
              <w:rPr>
                <w:rFonts w:cs="Calibri"/>
                <w:szCs w:val="22"/>
              </w:rPr>
              <w:t>-</w:t>
            </w:r>
            <w:r w:rsidRPr="00BD4F1B">
              <w:rPr>
                <w:rFonts w:cs="Calibri"/>
                <w:szCs w:val="22"/>
              </w:rPr>
              <w:t xml:space="preserve"> </w:t>
            </w:r>
            <w:r w:rsidR="00FB2A23">
              <w:rPr>
                <w:rFonts w:cs="Calibri"/>
                <w:szCs w:val="22"/>
              </w:rPr>
              <w:br/>
            </w:r>
            <w:r w:rsidRPr="00BD4F1B">
              <w:rPr>
                <w:rFonts w:cs="Calibri"/>
                <w:szCs w:val="22"/>
              </w:rPr>
              <w:t xml:space="preserve">Eigenschaften, </w:t>
            </w:r>
            <w:r>
              <w:rPr>
                <w:rFonts w:cs="Calibri"/>
                <w:szCs w:val="22"/>
              </w:rPr>
              <w:t xml:space="preserve">die </w:t>
            </w:r>
            <w:r w:rsidRPr="00BD4F1B">
              <w:rPr>
                <w:rFonts w:cs="Calibri"/>
                <w:szCs w:val="22"/>
              </w:rPr>
              <w:t>für die Anwendung beim Bau von Deponien und Zwischenlagern für feste Abfälle erforderlich sind</w:t>
            </w:r>
          </w:p>
        </w:tc>
        <w:tc>
          <w:tcPr>
            <w:tcW w:w="2976" w:type="dxa"/>
            <w:shd w:val="clear" w:color="auto" w:fill="DEEAF6"/>
          </w:tcPr>
          <w:p w:rsidR="00CB0E95" w:rsidRPr="00BD4F1B" w:rsidRDefault="00CB0E95" w:rsidP="009563D1">
            <w:pPr>
              <w:spacing w:before="0" w:after="0"/>
              <w:rPr>
                <w:sz w:val="16"/>
                <w:szCs w:val="16"/>
              </w:rPr>
            </w:pPr>
          </w:p>
        </w:tc>
        <w:tc>
          <w:tcPr>
            <w:tcW w:w="986" w:type="dxa"/>
            <w:shd w:val="clear" w:color="auto" w:fill="auto"/>
          </w:tcPr>
          <w:p w:rsidR="00CB0E95" w:rsidRPr="00982334" w:rsidRDefault="00CB0E95" w:rsidP="009563D1">
            <w:pPr>
              <w:spacing w:before="0" w:after="0"/>
            </w:pPr>
            <w:r w:rsidRPr="00982334">
              <w:t>BQS 9-1</w:t>
            </w:r>
          </w:p>
        </w:tc>
      </w:tr>
      <w:tr w:rsidR="0018332C" w:rsidRPr="00BD4F1B" w:rsidTr="009563D1">
        <w:trPr>
          <w:cantSplit/>
        </w:trPr>
        <w:tc>
          <w:tcPr>
            <w:tcW w:w="426" w:type="dxa"/>
            <w:shd w:val="clear" w:color="auto" w:fill="auto"/>
          </w:tcPr>
          <w:p w:rsidR="0018332C" w:rsidRPr="007F1C3A" w:rsidRDefault="0018332C" w:rsidP="009563D1">
            <w:pPr>
              <w:spacing w:before="0" w:after="0"/>
              <w:jc w:val="center"/>
            </w:pPr>
            <w:r w:rsidRPr="007F1C3A">
              <w:t>7</w:t>
            </w:r>
          </w:p>
        </w:tc>
        <w:tc>
          <w:tcPr>
            <w:tcW w:w="5240" w:type="dxa"/>
            <w:shd w:val="clear" w:color="auto" w:fill="auto"/>
          </w:tcPr>
          <w:p w:rsidR="0018332C" w:rsidRPr="00BD4F1B" w:rsidRDefault="0018332C" w:rsidP="009563D1">
            <w:pPr>
              <w:spacing w:before="0" w:after="0"/>
              <w:rPr>
                <w:rFonts w:cs="Calibri"/>
                <w:szCs w:val="22"/>
              </w:rPr>
            </w:pPr>
            <w:r w:rsidRPr="00BD4F1B">
              <w:rPr>
                <w:rFonts w:cs="Calibri"/>
                <w:szCs w:val="22"/>
              </w:rPr>
              <w:t xml:space="preserve">DIN EN 14196: Geokunststoffe </w:t>
            </w:r>
            <w:r w:rsidR="00D03F3C">
              <w:rPr>
                <w:rFonts w:cs="Calibri"/>
                <w:szCs w:val="22"/>
              </w:rPr>
              <w:t>-</w:t>
            </w:r>
            <w:r w:rsidRPr="00BD4F1B">
              <w:rPr>
                <w:rFonts w:cs="Calibri"/>
                <w:szCs w:val="22"/>
              </w:rPr>
              <w:t xml:space="preserve"> Prüfverfahren zur Bestimmung der flächenbezogenen Masse von geosynthetischen Tondichtungsbahnen</w:t>
            </w:r>
          </w:p>
        </w:tc>
        <w:tc>
          <w:tcPr>
            <w:tcW w:w="2976" w:type="dxa"/>
            <w:shd w:val="clear" w:color="auto" w:fill="DEEAF6"/>
          </w:tcPr>
          <w:p w:rsidR="0018332C" w:rsidRPr="00BD4F1B" w:rsidRDefault="0018332C" w:rsidP="009563D1">
            <w:pPr>
              <w:spacing w:before="0" w:after="0"/>
              <w:rPr>
                <w:sz w:val="16"/>
                <w:szCs w:val="16"/>
              </w:rPr>
            </w:pPr>
          </w:p>
        </w:tc>
        <w:tc>
          <w:tcPr>
            <w:tcW w:w="986" w:type="dxa"/>
            <w:shd w:val="clear" w:color="auto" w:fill="auto"/>
          </w:tcPr>
          <w:p w:rsidR="0018332C" w:rsidRPr="00982334" w:rsidRDefault="0018332C" w:rsidP="009563D1">
            <w:pPr>
              <w:spacing w:before="0" w:after="0"/>
            </w:pPr>
            <w:r w:rsidRPr="00982334">
              <w:t>BQS 9-1</w:t>
            </w:r>
          </w:p>
        </w:tc>
      </w:tr>
      <w:tr w:rsidR="0018332C" w:rsidRPr="00BD4F1B" w:rsidTr="009563D1">
        <w:trPr>
          <w:cantSplit/>
        </w:trPr>
        <w:tc>
          <w:tcPr>
            <w:tcW w:w="426" w:type="dxa"/>
            <w:shd w:val="clear" w:color="auto" w:fill="auto"/>
          </w:tcPr>
          <w:p w:rsidR="0018332C" w:rsidRPr="007F1C3A" w:rsidRDefault="00551019" w:rsidP="009563D1">
            <w:pPr>
              <w:spacing w:before="0" w:after="0"/>
              <w:jc w:val="center"/>
            </w:pPr>
            <w:r>
              <w:t>8</w:t>
            </w:r>
          </w:p>
        </w:tc>
        <w:tc>
          <w:tcPr>
            <w:tcW w:w="5240" w:type="dxa"/>
            <w:shd w:val="clear" w:color="auto" w:fill="auto"/>
          </w:tcPr>
          <w:p w:rsidR="0018332C" w:rsidRPr="00432C86" w:rsidRDefault="0018332C" w:rsidP="009563D1">
            <w:pPr>
              <w:spacing w:before="0" w:after="0"/>
              <w:rPr>
                <w:rFonts w:asciiTheme="minorHAnsi" w:hAnsiTheme="minorHAnsi" w:cstheme="minorHAnsi"/>
              </w:rPr>
            </w:pPr>
            <w:r w:rsidRPr="00432C86">
              <w:rPr>
                <w:rFonts w:asciiTheme="minorHAnsi" w:hAnsiTheme="minorHAnsi" w:cstheme="minorHAnsi"/>
              </w:rPr>
              <w:t xml:space="preserve">DIN EN 16416: Geosynthetische Tondichtungsbahnen </w:t>
            </w:r>
            <w:r w:rsidR="00FB2A23">
              <w:rPr>
                <w:rFonts w:asciiTheme="minorHAnsi" w:hAnsiTheme="minorHAnsi" w:cstheme="minorHAnsi"/>
              </w:rPr>
              <w:t>-</w:t>
            </w:r>
            <w:r w:rsidRPr="00432C86">
              <w:rPr>
                <w:rFonts w:asciiTheme="minorHAnsi" w:hAnsiTheme="minorHAnsi" w:cstheme="minorHAnsi"/>
              </w:rPr>
              <w:t xml:space="preserve"> Bestimmung der Durchflussrate </w:t>
            </w:r>
            <w:r w:rsidR="00D03F3C">
              <w:rPr>
                <w:rFonts w:asciiTheme="minorHAnsi" w:hAnsiTheme="minorHAnsi" w:cstheme="minorHAnsi"/>
              </w:rPr>
              <w:t>-</w:t>
            </w:r>
            <w:r w:rsidRPr="00432C86">
              <w:rPr>
                <w:rFonts w:asciiTheme="minorHAnsi" w:hAnsiTheme="minorHAnsi" w:cstheme="minorHAnsi"/>
              </w:rPr>
              <w:t xml:space="preserve"> Triaxialzellen-Methode mit konstanter Druckhöhe</w:t>
            </w:r>
          </w:p>
        </w:tc>
        <w:tc>
          <w:tcPr>
            <w:tcW w:w="2976" w:type="dxa"/>
            <w:shd w:val="clear" w:color="auto" w:fill="DEEAF6"/>
          </w:tcPr>
          <w:p w:rsidR="0018332C" w:rsidRPr="00BD4F1B" w:rsidRDefault="0018332C" w:rsidP="009563D1">
            <w:pPr>
              <w:spacing w:before="0" w:after="0"/>
              <w:rPr>
                <w:sz w:val="16"/>
                <w:szCs w:val="16"/>
              </w:rPr>
            </w:pPr>
          </w:p>
        </w:tc>
        <w:tc>
          <w:tcPr>
            <w:tcW w:w="986" w:type="dxa"/>
            <w:shd w:val="clear" w:color="auto" w:fill="auto"/>
          </w:tcPr>
          <w:p w:rsidR="0018332C" w:rsidRPr="00982334" w:rsidRDefault="0018332C" w:rsidP="009563D1">
            <w:pPr>
              <w:spacing w:before="0" w:after="0"/>
            </w:pPr>
            <w:r w:rsidRPr="00982334">
              <w:t>BQS 9-1</w:t>
            </w:r>
          </w:p>
        </w:tc>
      </w:tr>
      <w:tr w:rsidR="00551019" w:rsidRPr="00BD4F1B" w:rsidTr="009563D1">
        <w:trPr>
          <w:cantSplit/>
        </w:trPr>
        <w:tc>
          <w:tcPr>
            <w:tcW w:w="426" w:type="dxa"/>
            <w:shd w:val="clear" w:color="auto" w:fill="auto"/>
          </w:tcPr>
          <w:p w:rsidR="00551019" w:rsidRPr="007F1C3A" w:rsidRDefault="00551019" w:rsidP="009563D1">
            <w:pPr>
              <w:spacing w:before="0" w:after="0"/>
              <w:jc w:val="center"/>
              <w:rPr>
                <w:rFonts w:cs="Calibri"/>
              </w:rPr>
            </w:pPr>
            <w:r>
              <w:rPr>
                <w:rFonts w:cs="Calibri"/>
              </w:rPr>
              <w:t>9</w:t>
            </w:r>
          </w:p>
        </w:tc>
        <w:tc>
          <w:tcPr>
            <w:tcW w:w="5240" w:type="dxa"/>
            <w:shd w:val="clear" w:color="auto" w:fill="auto"/>
          </w:tcPr>
          <w:p w:rsidR="00551019" w:rsidRPr="00BD4F1B" w:rsidRDefault="00551019" w:rsidP="009563D1">
            <w:pPr>
              <w:spacing w:before="0" w:after="0"/>
              <w:rPr>
                <w:rFonts w:cs="Calibri"/>
                <w:szCs w:val="22"/>
              </w:rPr>
            </w:pPr>
            <w:r w:rsidRPr="00432C86">
              <w:rPr>
                <w:rFonts w:asciiTheme="minorHAnsi" w:hAnsiTheme="minorHAnsi" w:cstheme="minorHAnsi"/>
              </w:rPr>
              <w:t>DIN 4020 - Geotechnische Untersuchungen für bautechnische Zwecke - Ergänzende Regelungen zu DIN EN 1997-2</w:t>
            </w:r>
          </w:p>
        </w:tc>
        <w:tc>
          <w:tcPr>
            <w:tcW w:w="2976" w:type="dxa"/>
            <w:shd w:val="clear" w:color="auto" w:fill="DEEAF6"/>
          </w:tcPr>
          <w:p w:rsidR="00551019" w:rsidRPr="00BD4F1B" w:rsidRDefault="00551019" w:rsidP="009563D1">
            <w:pPr>
              <w:spacing w:before="0" w:after="0"/>
              <w:rPr>
                <w:sz w:val="16"/>
                <w:szCs w:val="16"/>
              </w:rPr>
            </w:pPr>
          </w:p>
        </w:tc>
        <w:tc>
          <w:tcPr>
            <w:tcW w:w="986" w:type="dxa"/>
            <w:shd w:val="clear" w:color="auto" w:fill="auto"/>
          </w:tcPr>
          <w:p w:rsidR="00551019" w:rsidRPr="00982334" w:rsidRDefault="00551019" w:rsidP="009563D1">
            <w:pPr>
              <w:spacing w:before="0" w:after="0"/>
            </w:pPr>
            <w:r w:rsidRPr="00982334">
              <w:t>BQS 9-1</w:t>
            </w:r>
          </w:p>
        </w:tc>
      </w:tr>
      <w:tr w:rsidR="00CB0E95" w:rsidRPr="00BD4F1B" w:rsidTr="009563D1">
        <w:trPr>
          <w:cantSplit/>
        </w:trPr>
        <w:tc>
          <w:tcPr>
            <w:tcW w:w="426" w:type="dxa"/>
            <w:shd w:val="clear" w:color="auto" w:fill="auto"/>
          </w:tcPr>
          <w:p w:rsidR="00CB0E95" w:rsidRPr="007F1C3A" w:rsidRDefault="00CB0E95" w:rsidP="00FB2A23">
            <w:pPr>
              <w:jc w:val="center"/>
              <w:rPr>
                <w:rFonts w:cs="Calibri"/>
              </w:rPr>
            </w:pPr>
            <w:r w:rsidRPr="007F1C3A">
              <w:rPr>
                <w:rFonts w:cs="Calibri"/>
              </w:rPr>
              <w:t>1</w:t>
            </w:r>
            <w:r w:rsidR="00551019">
              <w:rPr>
                <w:rFonts w:cs="Calibri"/>
              </w:rPr>
              <w:t>0</w:t>
            </w:r>
          </w:p>
        </w:tc>
        <w:tc>
          <w:tcPr>
            <w:tcW w:w="5240" w:type="dxa"/>
            <w:shd w:val="clear" w:color="auto" w:fill="auto"/>
          </w:tcPr>
          <w:p w:rsidR="00CB0E95" w:rsidRPr="00BD4F1B" w:rsidRDefault="0018332C" w:rsidP="00131F14">
            <w:pPr>
              <w:rPr>
                <w:rFonts w:cs="Calibri"/>
                <w:szCs w:val="22"/>
              </w:rPr>
            </w:pPr>
            <w:r w:rsidRPr="00432C86">
              <w:rPr>
                <w:rFonts w:asciiTheme="minorHAnsi" w:hAnsiTheme="minorHAnsi" w:cstheme="minorHAnsi"/>
              </w:rPr>
              <w:t xml:space="preserve">DIN 18125-2 - Untersuchung von Bodenproben </w:t>
            </w:r>
            <w:r w:rsidR="00D03F3C">
              <w:rPr>
                <w:rFonts w:asciiTheme="minorHAnsi" w:hAnsiTheme="minorHAnsi" w:cstheme="minorHAnsi"/>
              </w:rPr>
              <w:t>-</w:t>
            </w:r>
            <w:r w:rsidRPr="00432C86">
              <w:rPr>
                <w:rFonts w:asciiTheme="minorHAnsi" w:hAnsiTheme="minorHAnsi" w:cstheme="minorHAnsi"/>
              </w:rPr>
              <w:t xml:space="preserve"> Bestimmung der Dichte des Bodens - Teil 2: Feldversuche</w:t>
            </w:r>
          </w:p>
        </w:tc>
        <w:tc>
          <w:tcPr>
            <w:tcW w:w="2976" w:type="dxa"/>
            <w:shd w:val="clear" w:color="auto" w:fill="DEEAF6"/>
          </w:tcPr>
          <w:p w:rsidR="00CB0E95" w:rsidRPr="00BD4F1B" w:rsidRDefault="00CB0E95" w:rsidP="00FB2A23">
            <w:pPr>
              <w:rPr>
                <w:sz w:val="16"/>
                <w:szCs w:val="16"/>
              </w:rPr>
            </w:pPr>
          </w:p>
        </w:tc>
        <w:tc>
          <w:tcPr>
            <w:tcW w:w="986" w:type="dxa"/>
            <w:shd w:val="clear" w:color="auto" w:fill="auto"/>
          </w:tcPr>
          <w:p w:rsidR="00CB0E95" w:rsidRPr="00982334" w:rsidRDefault="00CB0E95" w:rsidP="00FB2A23">
            <w:r w:rsidRPr="00982334">
              <w:t>BQS 9-1</w:t>
            </w:r>
          </w:p>
        </w:tc>
      </w:tr>
      <w:tr w:rsidR="00CB0E95" w:rsidRPr="00BD4F1B" w:rsidTr="009563D1">
        <w:trPr>
          <w:cantSplit/>
        </w:trPr>
        <w:tc>
          <w:tcPr>
            <w:tcW w:w="426" w:type="dxa"/>
            <w:shd w:val="clear" w:color="auto" w:fill="auto"/>
          </w:tcPr>
          <w:p w:rsidR="00CB0E95" w:rsidRPr="00BD4F1B" w:rsidRDefault="00CB0E95" w:rsidP="00FB2A23">
            <w:pPr>
              <w:jc w:val="center"/>
              <w:rPr>
                <w:rFonts w:cs="Calibri"/>
                <w:szCs w:val="22"/>
              </w:rPr>
            </w:pPr>
            <w:r w:rsidRPr="00BD4F1B">
              <w:rPr>
                <w:rFonts w:cs="Calibri"/>
                <w:szCs w:val="22"/>
              </w:rPr>
              <w:lastRenderedPageBreak/>
              <w:t>1</w:t>
            </w:r>
            <w:r w:rsidR="00551019">
              <w:rPr>
                <w:rFonts w:cs="Calibri"/>
                <w:szCs w:val="22"/>
              </w:rPr>
              <w:t>1</w:t>
            </w:r>
          </w:p>
        </w:tc>
        <w:tc>
          <w:tcPr>
            <w:tcW w:w="5240" w:type="dxa"/>
            <w:shd w:val="clear" w:color="auto" w:fill="auto"/>
          </w:tcPr>
          <w:p w:rsidR="00CB0E95" w:rsidRPr="00BD4F1B" w:rsidRDefault="0018332C" w:rsidP="00FB2A23">
            <w:pPr>
              <w:rPr>
                <w:rFonts w:cs="Calibri"/>
                <w:szCs w:val="22"/>
              </w:rPr>
            </w:pPr>
            <w:r w:rsidRPr="00432C86">
              <w:rPr>
                <w:rFonts w:asciiTheme="minorHAnsi" w:hAnsiTheme="minorHAnsi" w:cstheme="minorHAnsi"/>
              </w:rPr>
              <w:t>DIN 18134 - Baugrund, Versuche und Versuchsgeräte, Plattendruckversuch</w:t>
            </w:r>
          </w:p>
        </w:tc>
        <w:tc>
          <w:tcPr>
            <w:tcW w:w="2976" w:type="dxa"/>
            <w:shd w:val="clear" w:color="auto" w:fill="DEEAF6"/>
          </w:tcPr>
          <w:p w:rsidR="00CB0E95" w:rsidRPr="00BD4F1B" w:rsidRDefault="00CB0E95" w:rsidP="00FB2A23">
            <w:pPr>
              <w:rPr>
                <w:sz w:val="16"/>
                <w:szCs w:val="16"/>
              </w:rPr>
            </w:pPr>
          </w:p>
        </w:tc>
        <w:tc>
          <w:tcPr>
            <w:tcW w:w="986" w:type="dxa"/>
            <w:shd w:val="clear" w:color="auto" w:fill="auto"/>
          </w:tcPr>
          <w:p w:rsidR="00CB0E95" w:rsidRPr="00982334" w:rsidRDefault="00CB0E95" w:rsidP="00FB2A23">
            <w:r w:rsidRPr="00982334">
              <w:t>BQS 9-1</w:t>
            </w:r>
          </w:p>
        </w:tc>
      </w:tr>
      <w:tr w:rsidR="00CB0E95" w:rsidRPr="00BD4F1B" w:rsidTr="009563D1">
        <w:trPr>
          <w:cantSplit/>
        </w:trPr>
        <w:tc>
          <w:tcPr>
            <w:tcW w:w="426" w:type="dxa"/>
            <w:shd w:val="clear" w:color="auto" w:fill="auto"/>
          </w:tcPr>
          <w:p w:rsidR="00CB0E95" w:rsidRPr="00BD4F1B" w:rsidRDefault="00CB0E95" w:rsidP="00FB2A23">
            <w:pPr>
              <w:jc w:val="center"/>
              <w:rPr>
                <w:rFonts w:cs="Calibri"/>
                <w:szCs w:val="22"/>
              </w:rPr>
            </w:pPr>
            <w:r w:rsidRPr="00BD4F1B">
              <w:rPr>
                <w:rFonts w:cs="Calibri"/>
                <w:szCs w:val="22"/>
              </w:rPr>
              <w:t>1</w:t>
            </w:r>
            <w:r w:rsidR="00551019">
              <w:rPr>
                <w:rFonts w:cs="Calibri"/>
                <w:szCs w:val="22"/>
              </w:rPr>
              <w:t>2</w:t>
            </w:r>
          </w:p>
        </w:tc>
        <w:tc>
          <w:tcPr>
            <w:tcW w:w="5240" w:type="dxa"/>
            <w:shd w:val="clear" w:color="auto" w:fill="auto"/>
          </w:tcPr>
          <w:p w:rsidR="00CB0E95" w:rsidRPr="00BD4F1B" w:rsidRDefault="0018332C" w:rsidP="00D03F3C">
            <w:pPr>
              <w:rPr>
                <w:rFonts w:cs="Calibri"/>
                <w:szCs w:val="22"/>
              </w:rPr>
            </w:pPr>
            <w:r w:rsidRPr="00432C86">
              <w:rPr>
                <w:rFonts w:asciiTheme="minorHAnsi" w:hAnsiTheme="minorHAnsi" w:cstheme="minorHAnsi"/>
              </w:rPr>
              <w:t xml:space="preserve">DIN 18196 - Erd- und Grundbau </w:t>
            </w:r>
            <w:r w:rsidR="00D03F3C">
              <w:rPr>
                <w:rFonts w:asciiTheme="minorHAnsi" w:hAnsiTheme="minorHAnsi" w:cstheme="minorHAnsi"/>
              </w:rPr>
              <w:t>-</w:t>
            </w:r>
            <w:r w:rsidRPr="00432C86">
              <w:rPr>
                <w:rFonts w:asciiTheme="minorHAnsi" w:hAnsiTheme="minorHAnsi" w:cstheme="minorHAnsi"/>
              </w:rPr>
              <w:t xml:space="preserve"> Bodenklassifikation für bautechnische Zwecke</w:t>
            </w:r>
          </w:p>
        </w:tc>
        <w:tc>
          <w:tcPr>
            <w:tcW w:w="2976" w:type="dxa"/>
            <w:shd w:val="clear" w:color="auto" w:fill="DEEAF6"/>
          </w:tcPr>
          <w:p w:rsidR="00CB0E95" w:rsidRPr="00BD4F1B" w:rsidRDefault="00CB0E95" w:rsidP="00FB2A23">
            <w:pPr>
              <w:rPr>
                <w:sz w:val="16"/>
                <w:szCs w:val="16"/>
              </w:rPr>
            </w:pPr>
          </w:p>
        </w:tc>
        <w:tc>
          <w:tcPr>
            <w:tcW w:w="986" w:type="dxa"/>
            <w:shd w:val="clear" w:color="auto" w:fill="auto"/>
          </w:tcPr>
          <w:p w:rsidR="00CB0E95" w:rsidRPr="00982334" w:rsidRDefault="00CB0E95" w:rsidP="00FB2A23">
            <w:r w:rsidRPr="00982334">
              <w:t>BQS 9-1</w:t>
            </w:r>
          </w:p>
        </w:tc>
      </w:tr>
      <w:tr w:rsidR="0018332C" w:rsidRPr="00BD4F1B" w:rsidTr="009563D1">
        <w:trPr>
          <w:cantSplit/>
        </w:trPr>
        <w:tc>
          <w:tcPr>
            <w:tcW w:w="426" w:type="dxa"/>
            <w:shd w:val="clear" w:color="auto" w:fill="auto"/>
          </w:tcPr>
          <w:p w:rsidR="0018332C" w:rsidRPr="00BD4F1B" w:rsidRDefault="0018332C" w:rsidP="00FB2A23">
            <w:pPr>
              <w:jc w:val="center"/>
              <w:rPr>
                <w:rFonts w:cs="Calibri"/>
                <w:szCs w:val="22"/>
              </w:rPr>
            </w:pPr>
            <w:r w:rsidRPr="00BD4F1B">
              <w:rPr>
                <w:rFonts w:cs="Calibri"/>
                <w:szCs w:val="22"/>
              </w:rPr>
              <w:t>1</w:t>
            </w:r>
            <w:r w:rsidR="00551019">
              <w:rPr>
                <w:rFonts w:cs="Calibri"/>
                <w:szCs w:val="22"/>
              </w:rPr>
              <w:t>3</w:t>
            </w:r>
          </w:p>
        </w:tc>
        <w:tc>
          <w:tcPr>
            <w:tcW w:w="5240" w:type="dxa"/>
            <w:shd w:val="clear" w:color="auto" w:fill="auto"/>
          </w:tcPr>
          <w:p w:rsidR="0018332C" w:rsidRPr="00432C86" w:rsidRDefault="0018332C" w:rsidP="003578D1">
            <w:pPr>
              <w:rPr>
                <w:rFonts w:asciiTheme="minorHAnsi" w:hAnsiTheme="minorHAnsi" w:cstheme="minorHAnsi"/>
              </w:rPr>
            </w:pPr>
            <w:r w:rsidRPr="00432C86">
              <w:rPr>
                <w:rFonts w:asciiTheme="minorHAnsi" w:hAnsiTheme="minorHAnsi" w:cstheme="minorHAnsi"/>
              </w:rPr>
              <w:t xml:space="preserve">DIN 18300: Vergabe- und Vertragsordnung für Bauleistungen - </w:t>
            </w:r>
            <w:r w:rsidR="00D03F3C">
              <w:rPr>
                <w:rFonts w:asciiTheme="minorHAnsi" w:hAnsiTheme="minorHAnsi" w:cstheme="minorHAnsi"/>
              </w:rPr>
              <w:br/>
            </w:r>
            <w:r w:rsidRPr="00432C86">
              <w:rPr>
                <w:rFonts w:asciiTheme="minorHAnsi" w:hAnsiTheme="minorHAnsi" w:cstheme="minorHAnsi"/>
              </w:rPr>
              <w:t>Teil C: Allgemeine Technische Vertragsbedingungen für Bauleistungen (ATV) - Erdarbeiten</w:t>
            </w:r>
          </w:p>
        </w:tc>
        <w:tc>
          <w:tcPr>
            <w:tcW w:w="2976" w:type="dxa"/>
            <w:shd w:val="clear" w:color="auto" w:fill="DEEAF6"/>
          </w:tcPr>
          <w:p w:rsidR="0018332C" w:rsidRPr="00BD4F1B" w:rsidRDefault="0018332C" w:rsidP="00FB2A23">
            <w:pPr>
              <w:rPr>
                <w:sz w:val="16"/>
                <w:szCs w:val="16"/>
              </w:rPr>
            </w:pPr>
          </w:p>
        </w:tc>
        <w:tc>
          <w:tcPr>
            <w:tcW w:w="986" w:type="dxa"/>
            <w:shd w:val="clear" w:color="auto" w:fill="auto"/>
          </w:tcPr>
          <w:p w:rsidR="0018332C" w:rsidRPr="00982334" w:rsidRDefault="0018332C" w:rsidP="00FB2A23">
            <w:r w:rsidRPr="00982334">
              <w:t>BQS 9-1</w:t>
            </w:r>
          </w:p>
        </w:tc>
      </w:tr>
      <w:tr w:rsidR="0018332C" w:rsidRPr="00BD4F1B" w:rsidTr="009563D1">
        <w:trPr>
          <w:cantSplit/>
        </w:trPr>
        <w:tc>
          <w:tcPr>
            <w:tcW w:w="426" w:type="dxa"/>
            <w:shd w:val="clear" w:color="auto" w:fill="auto"/>
          </w:tcPr>
          <w:p w:rsidR="0018332C" w:rsidRPr="00BD4F1B" w:rsidRDefault="0018332C" w:rsidP="00FB2A23">
            <w:pPr>
              <w:jc w:val="center"/>
              <w:rPr>
                <w:rFonts w:cs="Calibri"/>
                <w:szCs w:val="22"/>
              </w:rPr>
            </w:pPr>
            <w:r w:rsidRPr="00BD4F1B">
              <w:rPr>
                <w:rFonts w:cs="Calibri"/>
                <w:szCs w:val="22"/>
              </w:rPr>
              <w:t>1</w:t>
            </w:r>
            <w:r w:rsidR="00551019">
              <w:rPr>
                <w:rFonts w:cs="Calibri"/>
                <w:szCs w:val="22"/>
              </w:rPr>
              <w:t>4</w:t>
            </w:r>
          </w:p>
        </w:tc>
        <w:tc>
          <w:tcPr>
            <w:tcW w:w="5240" w:type="dxa"/>
            <w:shd w:val="clear" w:color="auto" w:fill="auto"/>
          </w:tcPr>
          <w:p w:rsidR="0018332C" w:rsidRPr="00432C86" w:rsidRDefault="0018332C" w:rsidP="00FB2A23">
            <w:pPr>
              <w:rPr>
                <w:rFonts w:asciiTheme="minorHAnsi" w:hAnsiTheme="minorHAnsi" w:cstheme="minorHAnsi"/>
              </w:rPr>
            </w:pPr>
            <w:r w:rsidRPr="00432C86">
              <w:rPr>
                <w:rFonts w:asciiTheme="minorHAnsi" w:hAnsiTheme="minorHAnsi" w:cstheme="minorHAnsi"/>
              </w:rPr>
              <w:t>DIN 18915: Vegetationstechnik im Landschaftsbau; Bodenarbeiten</w:t>
            </w:r>
          </w:p>
        </w:tc>
        <w:tc>
          <w:tcPr>
            <w:tcW w:w="2976" w:type="dxa"/>
            <w:shd w:val="clear" w:color="auto" w:fill="DEEAF6"/>
          </w:tcPr>
          <w:p w:rsidR="0018332C" w:rsidRPr="00BD4F1B" w:rsidRDefault="0018332C" w:rsidP="00FB2A23">
            <w:pPr>
              <w:rPr>
                <w:sz w:val="16"/>
                <w:szCs w:val="16"/>
              </w:rPr>
            </w:pPr>
          </w:p>
        </w:tc>
        <w:tc>
          <w:tcPr>
            <w:tcW w:w="986" w:type="dxa"/>
            <w:shd w:val="clear" w:color="auto" w:fill="auto"/>
          </w:tcPr>
          <w:p w:rsidR="0018332C" w:rsidRPr="00982334" w:rsidRDefault="0018332C" w:rsidP="00FB2A23">
            <w:r w:rsidRPr="00982334">
              <w:t>BQS 9-1</w:t>
            </w:r>
          </w:p>
        </w:tc>
      </w:tr>
      <w:tr w:rsidR="0018332C" w:rsidRPr="00BD4F1B" w:rsidTr="009563D1">
        <w:trPr>
          <w:cantSplit/>
        </w:trPr>
        <w:tc>
          <w:tcPr>
            <w:tcW w:w="426" w:type="dxa"/>
            <w:shd w:val="clear" w:color="auto" w:fill="auto"/>
          </w:tcPr>
          <w:p w:rsidR="0018332C" w:rsidRPr="00BD4F1B" w:rsidRDefault="0018332C" w:rsidP="00FB2A23">
            <w:pPr>
              <w:jc w:val="center"/>
              <w:rPr>
                <w:rFonts w:cs="Calibri"/>
                <w:szCs w:val="22"/>
              </w:rPr>
            </w:pPr>
            <w:r w:rsidRPr="00BD4F1B">
              <w:rPr>
                <w:rFonts w:cs="Calibri"/>
                <w:szCs w:val="22"/>
              </w:rPr>
              <w:t>1</w:t>
            </w:r>
            <w:r w:rsidR="00551019">
              <w:rPr>
                <w:rFonts w:cs="Calibri"/>
                <w:szCs w:val="22"/>
              </w:rPr>
              <w:t>5</w:t>
            </w:r>
          </w:p>
        </w:tc>
        <w:tc>
          <w:tcPr>
            <w:tcW w:w="5240" w:type="dxa"/>
            <w:shd w:val="clear" w:color="auto" w:fill="auto"/>
          </w:tcPr>
          <w:p w:rsidR="0018332C" w:rsidRPr="00432C86" w:rsidRDefault="0018332C" w:rsidP="00FB2A23">
            <w:pPr>
              <w:rPr>
                <w:rFonts w:asciiTheme="minorHAnsi" w:hAnsiTheme="minorHAnsi" w:cstheme="minorHAnsi"/>
              </w:rPr>
            </w:pPr>
            <w:r w:rsidRPr="00432C86">
              <w:rPr>
                <w:rFonts w:asciiTheme="minorHAnsi" w:hAnsiTheme="minorHAnsi" w:cstheme="minorHAnsi"/>
              </w:rPr>
              <w:t xml:space="preserve">DIN 19682-1: Bodenbeschaffenheit - Felduntersuchungen - </w:t>
            </w:r>
            <w:r w:rsidR="003578D1">
              <w:rPr>
                <w:rFonts w:asciiTheme="minorHAnsi" w:hAnsiTheme="minorHAnsi" w:cstheme="minorHAnsi"/>
              </w:rPr>
              <w:br/>
            </w:r>
            <w:r w:rsidRPr="00432C86">
              <w:rPr>
                <w:rFonts w:asciiTheme="minorHAnsi" w:hAnsiTheme="minorHAnsi" w:cstheme="minorHAnsi"/>
              </w:rPr>
              <w:t>Teil 1: Bestimmung der Bodenfarbe</w:t>
            </w:r>
          </w:p>
        </w:tc>
        <w:tc>
          <w:tcPr>
            <w:tcW w:w="2976" w:type="dxa"/>
            <w:shd w:val="clear" w:color="auto" w:fill="DEEAF6"/>
          </w:tcPr>
          <w:p w:rsidR="0018332C" w:rsidRPr="00BD4F1B" w:rsidRDefault="0018332C" w:rsidP="00FB2A23">
            <w:pPr>
              <w:rPr>
                <w:sz w:val="16"/>
                <w:szCs w:val="16"/>
              </w:rPr>
            </w:pPr>
          </w:p>
        </w:tc>
        <w:tc>
          <w:tcPr>
            <w:tcW w:w="986" w:type="dxa"/>
            <w:shd w:val="clear" w:color="auto" w:fill="auto"/>
          </w:tcPr>
          <w:p w:rsidR="0018332C" w:rsidRPr="00982334" w:rsidRDefault="0018332C" w:rsidP="00FB2A23">
            <w:r w:rsidRPr="00982334">
              <w:t>BQS 9-1</w:t>
            </w:r>
          </w:p>
        </w:tc>
      </w:tr>
      <w:tr w:rsidR="0018332C" w:rsidRPr="00BD4F1B" w:rsidTr="009563D1">
        <w:trPr>
          <w:cantSplit/>
        </w:trPr>
        <w:tc>
          <w:tcPr>
            <w:tcW w:w="426" w:type="dxa"/>
            <w:shd w:val="clear" w:color="auto" w:fill="auto"/>
          </w:tcPr>
          <w:p w:rsidR="0018332C" w:rsidRPr="00BD4F1B" w:rsidRDefault="0018332C" w:rsidP="00FB2A23">
            <w:pPr>
              <w:jc w:val="center"/>
              <w:rPr>
                <w:rFonts w:cs="Calibri"/>
                <w:szCs w:val="22"/>
              </w:rPr>
            </w:pPr>
            <w:r w:rsidRPr="00BD4F1B">
              <w:rPr>
                <w:rFonts w:cs="Calibri"/>
                <w:szCs w:val="22"/>
              </w:rPr>
              <w:t>1</w:t>
            </w:r>
            <w:r w:rsidR="00551019">
              <w:rPr>
                <w:rFonts w:cs="Calibri"/>
                <w:szCs w:val="22"/>
              </w:rPr>
              <w:t>6</w:t>
            </w:r>
          </w:p>
        </w:tc>
        <w:tc>
          <w:tcPr>
            <w:tcW w:w="5240" w:type="dxa"/>
            <w:shd w:val="clear" w:color="auto" w:fill="auto"/>
          </w:tcPr>
          <w:p w:rsidR="0018332C" w:rsidRPr="00432C86" w:rsidRDefault="0018332C" w:rsidP="00D03F3C">
            <w:pPr>
              <w:rPr>
                <w:rFonts w:asciiTheme="minorHAnsi" w:hAnsiTheme="minorHAnsi" w:cstheme="minorHAnsi"/>
              </w:rPr>
            </w:pPr>
            <w:r w:rsidRPr="00432C86">
              <w:rPr>
                <w:rFonts w:asciiTheme="minorHAnsi" w:hAnsiTheme="minorHAnsi" w:cstheme="minorHAnsi"/>
              </w:rPr>
              <w:t xml:space="preserve">DIN 19682-2: Bodenbeschaffenheit - Felduntersuchungen </w:t>
            </w:r>
            <w:r w:rsidR="00D03F3C">
              <w:rPr>
                <w:rFonts w:asciiTheme="minorHAnsi" w:hAnsiTheme="minorHAnsi" w:cstheme="minorHAnsi"/>
              </w:rPr>
              <w:t>-</w:t>
            </w:r>
            <w:r w:rsidRPr="00432C86">
              <w:rPr>
                <w:rFonts w:asciiTheme="minorHAnsi" w:hAnsiTheme="minorHAnsi" w:cstheme="minorHAnsi"/>
              </w:rPr>
              <w:t xml:space="preserve"> </w:t>
            </w:r>
            <w:r w:rsidR="003578D1">
              <w:rPr>
                <w:rFonts w:asciiTheme="minorHAnsi" w:hAnsiTheme="minorHAnsi" w:cstheme="minorHAnsi"/>
              </w:rPr>
              <w:br/>
            </w:r>
            <w:r w:rsidRPr="00432C86">
              <w:rPr>
                <w:rFonts w:asciiTheme="minorHAnsi" w:hAnsiTheme="minorHAnsi" w:cstheme="minorHAnsi"/>
              </w:rPr>
              <w:t>Teil 2: Bestimmung der Bodenart</w:t>
            </w:r>
          </w:p>
        </w:tc>
        <w:tc>
          <w:tcPr>
            <w:tcW w:w="2976" w:type="dxa"/>
            <w:shd w:val="clear" w:color="auto" w:fill="DEEAF6"/>
          </w:tcPr>
          <w:p w:rsidR="0018332C" w:rsidRPr="00BD4F1B" w:rsidRDefault="0018332C" w:rsidP="00FB2A23">
            <w:pPr>
              <w:rPr>
                <w:sz w:val="16"/>
                <w:szCs w:val="16"/>
              </w:rPr>
            </w:pPr>
          </w:p>
        </w:tc>
        <w:tc>
          <w:tcPr>
            <w:tcW w:w="986" w:type="dxa"/>
            <w:shd w:val="clear" w:color="auto" w:fill="auto"/>
          </w:tcPr>
          <w:p w:rsidR="0018332C" w:rsidRPr="00982334" w:rsidRDefault="0018332C" w:rsidP="00FB2A23">
            <w:r w:rsidRPr="00982334">
              <w:t>BQS 9-1</w:t>
            </w:r>
          </w:p>
        </w:tc>
      </w:tr>
      <w:tr w:rsidR="0018332C" w:rsidRPr="00BD4F1B" w:rsidTr="009563D1">
        <w:trPr>
          <w:cantSplit/>
        </w:trPr>
        <w:tc>
          <w:tcPr>
            <w:tcW w:w="426" w:type="dxa"/>
            <w:shd w:val="clear" w:color="auto" w:fill="auto"/>
          </w:tcPr>
          <w:p w:rsidR="0018332C" w:rsidRPr="00BD4F1B" w:rsidRDefault="0018332C" w:rsidP="00FB2A23">
            <w:pPr>
              <w:jc w:val="center"/>
              <w:rPr>
                <w:rFonts w:cs="Calibri"/>
                <w:szCs w:val="22"/>
              </w:rPr>
            </w:pPr>
            <w:r>
              <w:rPr>
                <w:rFonts w:cs="Calibri"/>
                <w:szCs w:val="22"/>
              </w:rPr>
              <w:t>1</w:t>
            </w:r>
            <w:r w:rsidR="00551019">
              <w:rPr>
                <w:rFonts w:cs="Calibri"/>
                <w:szCs w:val="22"/>
              </w:rPr>
              <w:t>7</w:t>
            </w:r>
          </w:p>
        </w:tc>
        <w:tc>
          <w:tcPr>
            <w:tcW w:w="5240" w:type="dxa"/>
            <w:shd w:val="clear" w:color="auto" w:fill="auto"/>
          </w:tcPr>
          <w:p w:rsidR="0018332C" w:rsidRPr="00432C86" w:rsidRDefault="0018332C" w:rsidP="00FB2A23">
            <w:pPr>
              <w:rPr>
                <w:rFonts w:asciiTheme="minorHAnsi" w:hAnsiTheme="minorHAnsi" w:cstheme="minorHAnsi"/>
              </w:rPr>
            </w:pPr>
            <w:r w:rsidRPr="00432C86">
              <w:rPr>
                <w:rFonts w:asciiTheme="minorHAnsi" w:hAnsiTheme="minorHAnsi" w:cstheme="minorHAnsi"/>
              </w:rPr>
              <w:t>TP Gestein-StB 3.14 und 3.15: Prüfvorschriften Gesteinskörnungen im Straßenbau</w:t>
            </w:r>
          </w:p>
        </w:tc>
        <w:tc>
          <w:tcPr>
            <w:tcW w:w="2976" w:type="dxa"/>
            <w:shd w:val="clear" w:color="auto" w:fill="DEEAF6"/>
          </w:tcPr>
          <w:p w:rsidR="0018332C" w:rsidRPr="00BD4F1B" w:rsidRDefault="0018332C" w:rsidP="00FB2A23">
            <w:pPr>
              <w:rPr>
                <w:sz w:val="16"/>
                <w:szCs w:val="16"/>
              </w:rPr>
            </w:pPr>
          </w:p>
        </w:tc>
        <w:tc>
          <w:tcPr>
            <w:tcW w:w="986" w:type="dxa"/>
            <w:shd w:val="clear" w:color="auto" w:fill="auto"/>
          </w:tcPr>
          <w:p w:rsidR="0018332C" w:rsidRPr="00982334" w:rsidRDefault="0018332C" w:rsidP="00FB2A23">
            <w:r w:rsidRPr="00982334">
              <w:t>BQS 9-1</w:t>
            </w:r>
          </w:p>
        </w:tc>
      </w:tr>
    </w:tbl>
    <w:p w:rsidR="00CB0E95" w:rsidRPr="005B7F37" w:rsidRDefault="00CB0E95" w:rsidP="005B7F37">
      <w:pPr>
        <w:tabs>
          <w:tab w:val="left" w:pos="2837"/>
        </w:tabs>
        <w:spacing w:before="0" w:after="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29"/>
        <w:gridCol w:w="5378"/>
        <w:gridCol w:w="2835"/>
        <w:gridCol w:w="986"/>
      </w:tblGrid>
      <w:tr w:rsidR="00CB0E95" w:rsidRPr="00BD4F1B" w:rsidTr="00A215B7">
        <w:trPr>
          <w:cantSplit/>
          <w:tblHeader/>
        </w:trPr>
        <w:tc>
          <w:tcPr>
            <w:tcW w:w="9628" w:type="dxa"/>
            <w:gridSpan w:val="4"/>
            <w:shd w:val="clear" w:color="auto" w:fill="D0CECE" w:themeFill="background2" w:themeFillShade="E6"/>
          </w:tcPr>
          <w:p w:rsidR="00CB0E95" w:rsidRPr="00BD4F1B" w:rsidRDefault="00CB0E95" w:rsidP="00011F1D">
            <w:pPr>
              <w:keepNext/>
              <w:spacing w:before="0" w:after="0"/>
              <w:rPr>
                <w:sz w:val="16"/>
                <w:szCs w:val="16"/>
              </w:rPr>
            </w:pPr>
            <w:r w:rsidRPr="00BD4F1B">
              <w:rPr>
                <w:rFonts w:cs="Calibri"/>
                <w:b/>
                <w:szCs w:val="22"/>
              </w:rPr>
              <w:t>Inspektionstätigkeiten (Hausverfahren), die kein Standard sind oder von einer technischen Spezifikation abgedeckt werden (Normabschnitt 7.1.3)</w:t>
            </w:r>
          </w:p>
        </w:tc>
      </w:tr>
      <w:tr w:rsidR="00D47DD8" w:rsidRPr="00BD4F1B" w:rsidTr="00011F1D">
        <w:trPr>
          <w:cantSplit/>
          <w:tblHeader/>
        </w:trPr>
        <w:tc>
          <w:tcPr>
            <w:tcW w:w="429" w:type="dxa"/>
            <w:shd w:val="clear" w:color="auto" w:fill="F2F2F2" w:themeFill="background1" w:themeFillShade="F2"/>
          </w:tcPr>
          <w:p w:rsidR="00D47DD8" w:rsidRPr="00BD4F1B" w:rsidRDefault="00D47DD8" w:rsidP="00011F1D">
            <w:pPr>
              <w:keepNext/>
              <w:spacing w:before="0" w:after="0"/>
              <w:jc w:val="center"/>
              <w:rPr>
                <w:rFonts w:cs="Calibri"/>
                <w:szCs w:val="22"/>
              </w:rPr>
            </w:pPr>
          </w:p>
        </w:tc>
        <w:tc>
          <w:tcPr>
            <w:tcW w:w="5378" w:type="dxa"/>
            <w:shd w:val="clear" w:color="auto" w:fill="F2F2F2" w:themeFill="background1" w:themeFillShade="F2"/>
          </w:tcPr>
          <w:p w:rsidR="00D47DD8" w:rsidRPr="00D47DD8" w:rsidRDefault="00D47DD8" w:rsidP="00011F1D">
            <w:pPr>
              <w:keepNext/>
              <w:autoSpaceDE w:val="0"/>
              <w:autoSpaceDN w:val="0"/>
              <w:adjustRightInd w:val="0"/>
              <w:spacing w:before="0" w:after="0"/>
              <w:rPr>
                <w:rFonts w:cs="Calibri"/>
                <w:b/>
                <w:szCs w:val="22"/>
              </w:rPr>
            </w:pPr>
            <w:r w:rsidRPr="00BD4F1B">
              <w:rPr>
                <w:rFonts w:cs="Calibri"/>
                <w:b/>
                <w:szCs w:val="22"/>
              </w:rPr>
              <w:t>Norm / Gegenstand</w:t>
            </w:r>
            <w:r w:rsidRPr="00D47DD8">
              <w:rPr>
                <w:rFonts w:cs="Calibri"/>
                <w:b/>
                <w:szCs w:val="22"/>
                <w:vertAlign w:val="superscript"/>
              </w:rPr>
              <w:t>1</w:t>
            </w:r>
          </w:p>
        </w:tc>
        <w:tc>
          <w:tcPr>
            <w:tcW w:w="2835" w:type="dxa"/>
            <w:shd w:val="clear" w:color="auto" w:fill="F2F2F2" w:themeFill="background1" w:themeFillShade="F2"/>
          </w:tcPr>
          <w:p w:rsidR="00D47DD8" w:rsidRPr="00BD4F1B" w:rsidRDefault="00D47DD8" w:rsidP="00011F1D">
            <w:pPr>
              <w:keepNext/>
              <w:spacing w:before="0" w:after="0"/>
              <w:rPr>
                <w:b/>
              </w:rPr>
            </w:pPr>
            <w:r w:rsidRPr="00BD4F1B">
              <w:rPr>
                <w:b/>
              </w:rPr>
              <w:t xml:space="preserve">Regel / Inspektionsanweisung </w:t>
            </w:r>
          </w:p>
        </w:tc>
        <w:tc>
          <w:tcPr>
            <w:tcW w:w="986" w:type="dxa"/>
            <w:shd w:val="clear" w:color="auto" w:fill="F2F2F2" w:themeFill="background1" w:themeFillShade="F2"/>
          </w:tcPr>
          <w:p w:rsidR="00D47DD8" w:rsidRPr="00BD4F1B" w:rsidRDefault="00D47DD8" w:rsidP="00011F1D">
            <w:pPr>
              <w:keepNext/>
              <w:spacing w:before="0" w:after="0"/>
              <w:rPr>
                <w:b/>
              </w:rPr>
            </w:pPr>
            <w:r w:rsidRPr="00BD4F1B">
              <w:rPr>
                <w:b/>
              </w:rPr>
              <w:t>Quelle</w:t>
            </w:r>
          </w:p>
        </w:tc>
      </w:tr>
      <w:tr w:rsidR="00CB0E95" w:rsidRPr="00BD4F1B" w:rsidTr="00011F1D">
        <w:trPr>
          <w:cantSplit/>
        </w:trPr>
        <w:tc>
          <w:tcPr>
            <w:tcW w:w="429" w:type="dxa"/>
            <w:shd w:val="clear" w:color="auto" w:fill="auto"/>
          </w:tcPr>
          <w:p w:rsidR="00CB0E95" w:rsidRPr="00BD4F1B" w:rsidRDefault="00551019" w:rsidP="00A215B7">
            <w:pPr>
              <w:spacing w:before="0" w:after="0"/>
              <w:jc w:val="center"/>
              <w:rPr>
                <w:rFonts w:cs="Calibri"/>
                <w:szCs w:val="22"/>
              </w:rPr>
            </w:pPr>
            <w:r>
              <w:rPr>
                <w:rFonts w:cs="Calibri"/>
                <w:szCs w:val="22"/>
              </w:rPr>
              <w:t>18</w:t>
            </w:r>
          </w:p>
        </w:tc>
        <w:tc>
          <w:tcPr>
            <w:tcW w:w="5378" w:type="dxa"/>
            <w:shd w:val="clear" w:color="auto" w:fill="auto"/>
          </w:tcPr>
          <w:p w:rsidR="00CB0E95" w:rsidRPr="00D32547" w:rsidRDefault="00CB0E95" w:rsidP="00A215B7">
            <w:pPr>
              <w:spacing w:before="0" w:after="0"/>
              <w:rPr>
                <w:rFonts w:cs="Calibri"/>
                <w:szCs w:val="22"/>
              </w:rPr>
            </w:pPr>
            <w:r w:rsidRPr="00D32547">
              <w:rPr>
                <w:rFonts w:cs="Calibri"/>
                <w:szCs w:val="22"/>
              </w:rPr>
              <w:t xml:space="preserve">Prüfung QMP des Planers </w:t>
            </w:r>
            <w:r w:rsidR="0018332C" w:rsidRPr="00D32547">
              <w:rPr>
                <w:rFonts w:cs="Calibri"/>
                <w:szCs w:val="22"/>
              </w:rPr>
              <w:t>sowie Mitwirkung bei der Überarbeitung und fachtechnischen Fortschreibung des QMP</w:t>
            </w:r>
          </w:p>
        </w:tc>
        <w:tc>
          <w:tcPr>
            <w:tcW w:w="2835" w:type="dxa"/>
            <w:shd w:val="clear" w:color="auto" w:fill="DEEAF6"/>
          </w:tcPr>
          <w:p w:rsidR="00CB0E95" w:rsidRPr="00BD4F1B" w:rsidRDefault="00CB0E95" w:rsidP="00A215B7">
            <w:pPr>
              <w:spacing w:before="0" w:after="0"/>
              <w:jc w:val="center"/>
              <w:rPr>
                <w:sz w:val="16"/>
                <w:szCs w:val="16"/>
              </w:rPr>
            </w:pPr>
          </w:p>
        </w:tc>
        <w:tc>
          <w:tcPr>
            <w:tcW w:w="986" w:type="dxa"/>
            <w:shd w:val="clear" w:color="auto" w:fill="auto"/>
          </w:tcPr>
          <w:p w:rsidR="00CB0E95" w:rsidRPr="00982334" w:rsidRDefault="00CB0E95" w:rsidP="00A215B7">
            <w:pPr>
              <w:spacing w:before="0" w:after="0"/>
            </w:pPr>
            <w:r w:rsidRPr="00982334">
              <w:t>BQS 9-1</w:t>
            </w:r>
          </w:p>
        </w:tc>
      </w:tr>
      <w:tr w:rsidR="00CB0E95" w:rsidRPr="00BD4F1B" w:rsidTr="00011F1D">
        <w:trPr>
          <w:cantSplit/>
        </w:trPr>
        <w:tc>
          <w:tcPr>
            <w:tcW w:w="429" w:type="dxa"/>
            <w:shd w:val="clear" w:color="auto" w:fill="auto"/>
          </w:tcPr>
          <w:p w:rsidR="00CB0E95" w:rsidRPr="00BD4F1B" w:rsidRDefault="00551019" w:rsidP="00A215B7">
            <w:pPr>
              <w:spacing w:before="0" w:after="0"/>
              <w:jc w:val="center"/>
              <w:rPr>
                <w:rFonts w:cs="Calibri"/>
                <w:szCs w:val="22"/>
              </w:rPr>
            </w:pPr>
            <w:r>
              <w:rPr>
                <w:rFonts w:cs="Calibri"/>
                <w:szCs w:val="22"/>
              </w:rPr>
              <w:t>19</w:t>
            </w:r>
          </w:p>
        </w:tc>
        <w:tc>
          <w:tcPr>
            <w:tcW w:w="5378" w:type="dxa"/>
            <w:shd w:val="clear" w:color="auto" w:fill="auto"/>
          </w:tcPr>
          <w:p w:rsidR="00CB0E95" w:rsidRPr="00D32547" w:rsidRDefault="00CB0E95" w:rsidP="00A215B7">
            <w:pPr>
              <w:spacing w:before="0" w:after="0"/>
              <w:rPr>
                <w:rFonts w:cs="Calibri"/>
                <w:szCs w:val="22"/>
              </w:rPr>
            </w:pPr>
            <w:r w:rsidRPr="00D32547">
              <w:rPr>
                <w:rFonts w:cs="Calibri"/>
                <w:szCs w:val="22"/>
              </w:rPr>
              <w:t>Prüfung der Ausführungsplanung auf QM nach BQS + Funktionalität Abdichtungssystem</w:t>
            </w:r>
          </w:p>
        </w:tc>
        <w:tc>
          <w:tcPr>
            <w:tcW w:w="2835" w:type="dxa"/>
            <w:shd w:val="clear" w:color="auto" w:fill="DEEAF6"/>
          </w:tcPr>
          <w:p w:rsidR="00CB0E95" w:rsidRPr="00BD4F1B" w:rsidRDefault="00CB0E95" w:rsidP="00A215B7">
            <w:pPr>
              <w:spacing w:before="0" w:after="0"/>
              <w:rPr>
                <w:sz w:val="16"/>
                <w:szCs w:val="16"/>
              </w:rPr>
            </w:pPr>
          </w:p>
        </w:tc>
        <w:tc>
          <w:tcPr>
            <w:tcW w:w="986" w:type="dxa"/>
            <w:shd w:val="clear" w:color="auto" w:fill="auto"/>
          </w:tcPr>
          <w:p w:rsidR="00CB0E95" w:rsidRPr="00982334" w:rsidRDefault="00CB0E95" w:rsidP="00A215B7">
            <w:pPr>
              <w:spacing w:before="0" w:after="0"/>
            </w:pPr>
            <w:r w:rsidRPr="00982334">
              <w:t>BQS 9-1</w:t>
            </w:r>
          </w:p>
        </w:tc>
      </w:tr>
      <w:tr w:rsidR="00CB0E95" w:rsidRPr="00BD4F1B" w:rsidTr="00011F1D">
        <w:trPr>
          <w:cantSplit/>
        </w:trPr>
        <w:tc>
          <w:tcPr>
            <w:tcW w:w="429" w:type="dxa"/>
            <w:shd w:val="clear" w:color="auto" w:fill="auto"/>
          </w:tcPr>
          <w:p w:rsidR="00CB0E95" w:rsidRPr="00BD4F1B" w:rsidRDefault="00551019" w:rsidP="00A215B7">
            <w:pPr>
              <w:spacing w:before="0" w:after="0"/>
              <w:jc w:val="center"/>
              <w:rPr>
                <w:rFonts w:cs="Calibri"/>
                <w:szCs w:val="22"/>
              </w:rPr>
            </w:pPr>
            <w:r>
              <w:rPr>
                <w:rFonts w:cs="Calibri"/>
                <w:szCs w:val="22"/>
              </w:rPr>
              <w:t>20</w:t>
            </w:r>
          </w:p>
        </w:tc>
        <w:tc>
          <w:tcPr>
            <w:tcW w:w="5378" w:type="dxa"/>
            <w:shd w:val="clear" w:color="auto" w:fill="auto"/>
          </w:tcPr>
          <w:p w:rsidR="00CB0E95" w:rsidRPr="00D32547" w:rsidRDefault="00CB0E95" w:rsidP="00A215B7">
            <w:pPr>
              <w:spacing w:before="0" w:after="0"/>
              <w:rPr>
                <w:rFonts w:cs="Calibri"/>
                <w:szCs w:val="22"/>
              </w:rPr>
            </w:pPr>
            <w:r w:rsidRPr="00D32547">
              <w:rPr>
                <w:rFonts w:cs="Calibri"/>
                <w:szCs w:val="22"/>
              </w:rPr>
              <w:t>Fachtechnische Prüfungen und Stellungnahmen zu Ausführungs- und Verfahrensvorschlägen des AN oder des AG</w:t>
            </w:r>
            <w:r w:rsidR="0018332C" w:rsidRPr="00D32547">
              <w:rPr>
                <w:rFonts w:cs="Calibri"/>
                <w:szCs w:val="22"/>
              </w:rPr>
              <w:t xml:space="preserve"> in Bezug auf die Qualität</w:t>
            </w:r>
          </w:p>
        </w:tc>
        <w:tc>
          <w:tcPr>
            <w:tcW w:w="2835" w:type="dxa"/>
            <w:shd w:val="clear" w:color="auto" w:fill="DEEAF6"/>
          </w:tcPr>
          <w:p w:rsidR="00CB0E95" w:rsidRPr="00BD4F1B" w:rsidRDefault="00CB0E95" w:rsidP="00A215B7">
            <w:pPr>
              <w:spacing w:before="0" w:after="0"/>
              <w:rPr>
                <w:sz w:val="16"/>
                <w:szCs w:val="16"/>
              </w:rPr>
            </w:pPr>
          </w:p>
        </w:tc>
        <w:tc>
          <w:tcPr>
            <w:tcW w:w="986" w:type="dxa"/>
            <w:shd w:val="clear" w:color="auto" w:fill="auto"/>
          </w:tcPr>
          <w:p w:rsidR="00CB0E95" w:rsidRPr="00982334" w:rsidRDefault="00CB0E95" w:rsidP="00A215B7">
            <w:pPr>
              <w:spacing w:before="0" w:after="0"/>
            </w:pPr>
            <w:r w:rsidRPr="00982334">
              <w:t>BQS 9-1</w:t>
            </w:r>
          </w:p>
        </w:tc>
      </w:tr>
      <w:tr w:rsidR="00CB0E95" w:rsidRPr="00BD4F1B" w:rsidTr="00011F1D">
        <w:trPr>
          <w:cantSplit/>
        </w:trPr>
        <w:tc>
          <w:tcPr>
            <w:tcW w:w="429" w:type="dxa"/>
            <w:shd w:val="clear" w:color="auto" w:fill="auto"/>
          </w:tcPr>
          <w:p w:rsidR="00CB0E95" w:rsidRPr="00BD4F1B" w:rsidRDefault="00CB0E95" w:rsidP="00A215B7">
            <w:pPr>
              <w:spacing w:before="0" w:after="0"/>
              <w:jc w:val="center"/>
              <w:rPr>
                <w:rFonts w:cs="Calibri"/>
                <w:szCs w:val="22"/>
              </w:rPr>
            </w:pPr>
            <w:r w:rsidRPr="00BD4F1B">
              <w:rPr>
                <w:rFonts w:cs="Calibri"/>
                <w:szCs w:val="22"/>
              </w:rPr>
              <w:t>2</w:t>
            </w:r>
            <w:r w:rsidR="00551019">
              <w:rPr>
                <w:rFonts w:cs="Calibri"/>
                <w:szCs w:val="22"/>
              </w:rPr>
              <w:t>1</w:t>
            </w:r>
          </w:p>
        </w:tc>
        <w:tc>
          <w:tcPr>
            <w:tcW w:w="5378" w:type="dxa"/>
            <w:shd w:val="clear" w:color="auto" w:fill="auto"/>
          </w:tcPr>
          <w:p w:rsidR="00CB0E95" w:rsidRPr="00D32547" w:rsidRDefault="0018332C" w:rsidP="00A215B7">
            <w:pPr>
              <w:spacing w:before="0" w:after="0"/>
              <w:rPr>
                <w:rFonts w:cs="Calibri"/>
                <w:szCs w:val="22"/>
              </w:rPr>
            </w:pPr>
            <w:r w:rsidRPr="00D32547">
              <w:rPr>
                <w:rFonts w:cs="Calibri"/>
                <w:szCs w:val="22"/>
              </w:rPr>
              <w:t>Prüfung Ergebnisse Eignungsprüfungen</w:t>
            </w:r>
            <w:r w:rsidR="00CB0E95" w:rsidRPr="00D32547">
              <w:rPr>
                <w:rFonts w:cs="Calibri"/>
                <w:szCs w:val="22"/>
              </w:rPr>
              <w:t xml:space="preserve"> auf Vollständigkeit und Bewertung der Eignung der für den Einbau vorgesehenen Baustoffe</w:t>
            </w:r>
          </w:p>
        </w:tc>
        <w:tc>
          <w:tcPr>
            <w:tcW w:w="2835" w:type="dxa"/>
            <w:shd w:val="clear" w:color="auto" w:fill="DEEAF6"/>
          </w:tcPr>
          <w:p w:rsidR="00CB0E95" w:rsidRPr="00BD4F1B" w:rsidRDefault="00CB0E95" w:rsidP="00A215B7">
            <w:pPr>
              <w:spacing w:before="0" w:after="0"/>
              <w:rPr>
                <w:sz w:val="16"/>
                <w:szCs w:val="16"/>
              </w:rPr>
            </w:pPr>
          </w:p>
        </w:tc>
        <w:tc>
          <w:tcPr>
            <w:tcW w:w="986" w:type="dxa"/>
            <w:shd w:val="clear" w:color="auto" w:fill="auto"/>
          </w:tcPr>
          <w:p w:rsidR="00CB0E95" w:rsidRPr="00982334" w:rsidRDefault="00CB0E95" w:rsidP="00A215B7">
            <w:pPr>
              <w:spacing w:before="0" w:after="0"/>
            </w:pPr>
            <w:r w:rsidRPr="00982334">
              <w:t>BQS 9-1</w:t>
            </w:r>
          </w:p>
        </w:tc>
      </w:tr>
      <w:tr w:rsidR="00CB0E95" w:rsidRPr="00BD4F1B" w:rsidTr="00011F1D">
        <w:trPr>
          <w:cantSplit/>
        </w:trPr>
        <w:tc>
          <w:tcPr>
            <w:tcW w:w="429" w:type="dxa"/>
            <w:shd w:val="clear" w:color="auto" w:fill="auto"/>
          </w:tcPr>
          <w:p w:rsidR="00CB0E95" w:rsidRPr="00BD4F1B" w:rsidRDefault="00CB0E95" w:rsidP="00A215B7">
            <w:pPr>
              <w:spacing w:before="0" w:after="0"/>
              <w:jc w:val="center"/>
              <w:rPr>
                <w:rFonts w:cs="Calibri"/>
                <w:szCs w:val="22"/>
              </w:rPr>
            </w:pPr>
            <w:r w:rsidRPr="00BD4F1B">
              <w:rPr>
                <w:rFonts w:cs="Calibri"/>
                <w:szCs w:val="22"/>
              </w:rPr>
              <w:t>2</w:t>
            </w:r>
            <w:r w:rsidR="00551019">
              <w:rPr>
                <w:rFonts w:cs="Calibri"/>
                <w:szCs w:val="22"/>
              </w:rPr>
              <w:t>2</w:t>
            </w:r>
          </w:p>
        </w:tc>
        <w:tc>
          <w:tcPr>
            <w:tcW w:w="5378" w:type="dxa"/>
            <w:shd w:val="clear" w:color="auto" w:fill="auto"/>
          </w:tcPr>
          <w:p w:rsidR="00CB0E95" w:rsidRPr="00BD4F1B" w:rsidRDefault="00CB0E95" w:rsidP="00A215B7">
            <w:pPr>
              <w:spacing w:before="0" w:after="0"/>
              <w:rPr>
                <w:rFonts w:cs="Calibri"/>
                <w:szCs w:val="22"/>
              </w:rPr>
            </w:pPr>
            <w:r w:rsidRPr="00BD4F1B">
              <w:rPr>
                <w:rFonts w:cs="Calibri"/>
                <w:szCs w:val="22"/>
              </w:rPr>
              <w:t>Prüfung der zum Nachweis der Standsicherheit vorgelegten Ergebnisse der Laborversuche auf Vollständigkeit und Plausibilität</w:t>
            </w:r>
          </w:p>
        </w:tc>
        <w:tc>
          <w:tcPr>
            <w:tcW w:w="2835" w:type="dxa"/>
            <w:shd w:val="clear" w:color="auto" w:fill="DEEAF6"/>
          </w:tcPr>
          <w:p w:rsidR="00CB0E95" w:rsidRPr="00BD4F1B" w:rsidRDefault="00CB0E95" w:rsidP="00A215B7">
            <w:pPr>
              <w:spacing w:before="0" w:after="0"/>
              <w:rPr>
                <w:sz w:val="16"/>
                <w:szCs w:val="16"/>
              </w:rPr>
            </w:pPr>
          </w:p>
        </w:tc>
        <w:tc>
          <w:tcPr>
            <w:tcW w:w="986" w:type="dxa"/>
            <w:shd w:val="clear" w:color="auto" w:fill="auto"/>
          </w:tcPr>
          <w:p w:rsidR="00CB0E95" w:rsidRPr="00982334" w:rsidRDefault="00CB0E95" w:rsidP="00A215B7">
            <w:pPr>
              <w:spacing w:before="0" w:after="0"/>
            </w:pPr>
            <w:r w:rsidRPr="00982334">
              <w:t>BQS 9-1</w:t>
            </w:r>
          </w:p>
        </w:tc>
      </w:tr>
      <w:tr w:rsidR="00CB0E95" w:rsidRPr="00BD4F1B" w:rsidTr="00011F1D">
        <w:trPr>
          <w:cantSplit/>
        </w:trPr>
        <w:tc>
          <w:tcPr>
            <w:tcW w:w="429" w:type="dxa"/>
            <w:shd w:val="clear" w:color="auto" w:fill="auto"/>
          </w:tcPr>
          <w:p w:rsidR="00CB0E95" w:rsidRPr="00BD4F1B" w:rsidRDefault="00CB0E95" w:rsidP="00A215B7">
            <w:pPr>
              <w:spacing w:before="0" w:after="0"/>
              <w:jc w:val="center"/>
              <w:rPr>
                <w:rFonts w:cs="Calibri"/>
                <w:szCs w:val="22"/>
              </w:rPr>
            </w:pPr>
            <w:r w:rsidRPr="00BD4F1B">
              <w:rPr>
                <w:rFonts w:cs="Calibri"/>
                <w:szCs w:val="22"/>
              </w:rPr>
              <w:t>2</w:t>
            </w:r>
            <w:r w:rsidR="00551019">
              <w:rPr>
                <w:rFonts w:cs="Calibri"/>
                <w:szCs w:val="22"/>
              </w:rPr>
              <w:t>3</w:t>
            </w:r>
          </w:p>
        </w:tc>
        <w:tc>
          <w:tcPr>
            <w:tcW w:w="5378" w:type="dxa"/>
            <w:shd w:val="clear" w:color="auto" w:fill="auto"/>
          </w:tcPr>
          <w:p w:rsidR="00CB0E95" w:rsidRPr="00BD4F1B" w:rsidRDefault="00CB0E95" w:rsidP="00A215B7">
            <w:pPr>
              <w:spacing w:before="0" w:after="0"/>
              <w:rPr>
                <w:rFonts w:cs="Calibri"/>
                <w:szCs w:val="22"/>
              </w:rPr>
            </w:pPr>
            <w:r w:rsidRPr="00BD4F1B">
              <w:rPr>
                <w:rFonts w:cs="Calibri"/>
                <w:szCs w:val="22"/>
              </w:rPr>
              <w:t xml:space="preserve">Prüfung Prüfplan des AN </w:t>
            </w:r>
          </w:p>
        </w:tc>
        <w:tc>
          <w:tcPr>
            <w:tcW w:w="2835" w:type="dxa"/>
            <w:shd w:val="clear" w:color="auto" w:fill="DEEAF6"/>
          </w:tcPr>
          <w:p w:rsidR="00CB0E95" w:rsidRPr="00BD4F1B" w:rsidRDefault="00CB0E95" w:rsidP="00A215B7">
            <w:pPr>
              <w:spacing w:before="0" w:after="0"/>
              <w:rPr>
                <w:sz w:val="16"/>
                <w:szCs w:val="16"/>
              </w:rPr>
            </w:pPr>
          </w:p>
        </w:tc>
        <w:tc>
          <w:tcPr>
            <w:tcW w:w="986" w:type="dxa"/>
            <w:shd w:val="clear" w:color="auto" w:fill="auto"/>
          </w:tcPr>
          <w:p w:rsidR="00CB0E95" w:rsidRPr="00982334" w:rsidRDefault="00CB0E95" w:rsidP="00A215B7">
            <w:pPr>
              <w:spacing w:before="0" w:after="0"/>
            </w:pPr>
            <w:r w:rsidRPr="00982334">
              <w:t>BQS 9-1</w:t>
            </w:r>
          </w:p>
        </w:tc>
      </w:tr>
      <w:tr w:rsidR="00CB0E95" w:rsidRPr="00BD4F1B" w:rsidTr="00011F1D">
        <w:trPr>
          <w:cantSplit/>
        </w:trPr>
        <w:tc>
          <w:tcPr>
            <w:tcW w:w="429" w:type="dxa"/>
            <w:shd w:val="clear" w:color="auto" w:fill="auto"/>
          </w:tcPr>
          <w:p w:rsidR="00CB0E95" w:rsidRPr="00BD4F1B" w:rsidRDefault="00CB0E95" w:rsidP="00A215B7">
            <w:pPr>
              <w:spacing w:before="0" w:after="0"/>
              <w:jc w:val="center"/>
              <w:rPr>
                <w:rFonts w:cs="Calibri"/>
                <w:szCs w:val="22"/>
              </w:rPr>
            </w:pPr>
            <w:r w:rsidRPr="00BD4F1B">
              <w:rPr>
                <w:rFonts w:cs="Calibri"/>
                <w:szCs w:val="22"/>
              </w:rPr>
              <w:t>2</w:t>
            </w:r>
            <w:r w:rsidR="00551019">
              <w:rPr>
                <w:rFonts w:cs="Calibri"/>
                <w:szCs w:val="22"/>
              </w:rPr>
              <w:t>4</w:t>
            </w:r>
          </w:p>
        </w:tc>
        <w:tc>
          <w:tcPr>
            <w:tcW w:w="5378" w:type="dxa"/>
            <w:shd w:val="clear" w:color="auto" w:fill="auto"/>
          </w:tcPr>
          <w:p w:rsidR="00CB0E95" w:rsidRPr="00BD4F1B" w:rsidRDefault="00CB0E95" w:rsidP="00A215B7">
            <w:pPr>
              <w:spacing w:before="0" w:after="0"/>
              <w:rPr>
                <w:rFonts w:cs="Calibri"/>
                <w:szCs w:val="22"/>
              </w:rPr>
            </w:pPr>
            <w:r w:rsidRPr="00BD4F1B">
              <w:rPr>
                <w:rFonts w:cs="Calibri"/>
                <w:szCs w:val="22"/>
              </w:rPr>
              <w:t>Begleitung Probefeldbau einschl. Untersuchungen, Probenahme und Laborversuche</w:t>
            </w:r>
          </w:p>
        </w:tc>
        <w:tc>
          <w:tcPr>
            <w:tcW w:w="2835" w:type="dxa"/>
            <w:shd w:val="clear" w:color="auto" w:fill="DEEAF6"/>
          </w:tcPr>
          <w:p w:rsidR="00CB0E95" w:rsidRPr="00BD4F1B" w:rsidRDefault="00CB0E95" w:rsidP="00A215B7">
            <w:pPr>
              <w:spacing w:before="0" w:after="0"/>
              <w:rPr>
                <w:sz w:val="16"/>
                <w:szCs w:val="16"/>
              </w:rPr>
            </w:pPr>
          </w:p>
        </w:tc>
        <w:tc>
          <w:tcPr>
            <w:tcW w:w="986" w:type="dxa"/>
            <w:shd w:val="clear" w:color="auto" w:fill="auto"/>
          </w:tcPr>
          <w:p w:rsidR="00CB0E95" w:rsidRPr="00982334" w:rsidRDefault="00CB0E95" w:rsidP="00A215B7">
            <w:pPr>
              <w:spacing w:before="0" w:after="0"/>
            </w:pPr>
            <w:r w:rsidRPr="00982334">
              <w:t>BQS 9-1</w:t>
            </w:r>
          </w:p>
        </w:tc>
      </w:tr>
      <w:tr w:rsidR="00CB0E95" w:rsidRPr="00BD4F1B" w:rsidTr="00011F1D">
        <w:trPr>
          <w:cantSplit/>
        </w:trPr>
        <w:tc>
          <w:tcPr>
            <w:tcW w:w="429" w:type="dxa"/>
            <w:shd w:val="clear" w:color="auto" w:fill="auto"/>
          </w:tcPr>
          <w:p w:rsidR="00CB0E95" w:rsidRPr="00BD4F1B" w:rsidRDefault="00CB0E95" w:rsidP="00A215B7">
            <w:pPr>
              <w:spacing w:before="0" w:after="0"/>
              <w:jc w:val="center"/>
              <w:rPr>
                <w:rFonts w:cs="Calibri"/>
                <w:szCs w:val="22"/>
              </w:rPr>
            </w:pPr>
            <w:r w:rsidRPr="00BD4F1B">
              <w:rPr>
                <w:rFonts w:cs="Calibri"/>
                <w:szCs w:val="22"/>
              </w:rPr>
              <w:lastRenderedPageBreak/>
              <w:t>2</w:t>
            </w:r>
            <w:r w:rsidR="00551019">
              <w:rPr>
                <w:rFonts w:cs="Calibri"/>
                <w:szCs w:val="22"/>
              </w:rPr>
              <w:t>5</w:t>
            </w:r>
          </w:p>
        </w:tc>
        <w:tc>
          <w:tcPr>
            <w:tcW w:w="5378" w:type="dxa"/>
            <w:shd w:val="clear" w:color="auto" w:fill="auto"/>
          </w:tcPr>
          <w:p w:rsidR="00CB0E95" w:rsidRPr="00BD4F1B" w:rsidRDefault="00CB0E95" w:rsidP="00A215B7">
            <w:pPr>
              <w:spacing w:before="0" w:after="0"/>
              <w:rPr>
                <w:rFonts w:cs="Calibri"/>
                <w:szCs w:val="22"/>
              </w:rPr>
            </w:pPr>
            <w:r w:rsidRPr="00BD4F1B">
              <w:rPr>
                <w:rFonts w:cs="Calibri"/>
                <w:szCs w:val="22"/>
              </w:rPr>
              <w:t>Prüfung der Übereinstimmung der im Probefeld oder bei der flächigen Bauausführung zum Einsatz kommenden mineralischen Baustoffe und Bauprodukte mit den in den Eignungsprüfungen untersuchten mineralischen Baustoffen oder Bauprodukten (einschl. Eingangskontrolle der Anlieferung mit Identifikation durch Lieferscheine, visuelle Inspektion, Entnahme Rückstellproben, Prüfung der Vollständigkeit der Dokumentation der Eigen- und Fremdüberwachung bei der Herstellung)</w:t>
            </w:r>
          </w:p>
        </w:tc>
        <w:tc>
          <w:tcPr>
            <w:tcW w:w="2835" w:type="dxa"/>
            <w:shd w:val="clear" w:color="auto" w:fill="DEEAF6"/>
          </w:tcPr>
          <w:p w:rsidR="00CB0E95" w:rsidRPr="00BD4F1B" w:rsidRDefault="00CB0E95" w:rsidP="00A215B7">
            <w:pPr>
              <w:spacing w:before="0" w:after="0"/>
              <w:rPr>
                <w:sz w:val="16"/>
                <w:szCs w:val="16"/>
              </w:rPr>
            </w:pPr>
          </w:p>
        </w:tc>
        <w:tc>
          <w:tcPr>
            <w:tcW w:w="986" w:type="dxa"/>
            <w:shd w:val="clear" w:color="auto" w:fill="auto"/>
          </w:tcPr>
          <w:p w:rsidR="00CB0E95" w:rsidRPr="00BD4F1B" w:rsidRDefault="00CB0E95" w:rsidP="00A215B7">
            <w:pPr>
              <w:spacing w:before="0" w:after="0"/>
              <w:rPr>
                <w:rFonts w:cs="Calibri"/>
                <w:szCs w:val="22"/>
              </w:rPr>
            </w:pPr>
            <w:r w:rsidRPr="00BD4F1B">
              <w:rPr>
                <w:rFonts w:cs="Calibri"/>
                <w:szCs w:val="22"/>
              </w:rPr>
              <w:t>BQS 9-1, BQS 2.0 ff</w:t>
            </w:r>
          </w:p>
        </w:tc>
      </w:tr>
      <w:tr w:rsidR="00E95B3F" w:rsidRPr="00BD4F1B" w:rsidTr="00011F1D">
        <w:trPr>
          <w:cantSplit/>
        </w:trPr>
        <w:tc>
          <w:tcPr>
            <w:tcW w:w="429" w:type="dxa"/>
            <w:shd w:val="clear" w:color="auto" w:fill="auto"/>
          </w:tcPr>
          <w:p w:rsidR="00E95B3F" w:rsidRPr="00BD4F1B" w:rsidRDefault="0018332C" w:rsidP="00A215B7">
            <w:pPr>
              <w:spacing w:before="0" w:after="0"/>
              <w:jc w:val="center"/>
              <w:rPr>
                <w:rFonts w:cs="Calibri"/>
                <w:szCs w:val="22"/>
              </w:rPr>
            </w:pPr>
            <w:r>
              <w:rPr>
                <w:rFonts w:cs="Calibri"/>
                <w:szCs w:val="22"/>
              </w:rPr>
              <w:t>2</w:t>
            </w:r>
            <w:r w:rsidR="00551019">
              <w:rPr>
                <w:rFonts w:cs="Calibri"/>
                <w:szCs w:val="22"/>
              </w:rPr>
              <w:t>6</w:t>
            </w:r>
          </w:p>
        </w:tc>
        <w:tc>
          <w:tcPr>
            <w:tcW w:w="5378" w:type="dxa"/>
            <w:shd w:val="clear" w:color="auto" w:fill="auto"/>
          </w:tcPr>
          <w:p w:rsidR="00E95B3F" w:rsidRPr="00D32547" w:rsidRDefault="00E95B3F" w:rsidP="00A215B7">
            <w:pPr>
              <w:spacing w:before="0" w:after="0"/>
              <w:rPr>
                <w:rFonts w:cs="Calibri"/>
                <w:szCs w:val="22"/>
              </w:rPr>
            </w:pPr>
            <w:r w:rsidRPr="00D32547">
              <w:rPr>
                <w:rFonts w:cs="Calibri"/>
                <w:szCs w:val="22"/>
              </w:rPr>
              <w:t xml:space="preserve">Stellungnahme und Freigabeempfehlung </w:t>
            </w:r>
            <w:r w:rsidR="0018332C" w:rsidRPr="00D32547">
              <w:rPr>
                <w:rFonts w:cs="Calibri"/>
                <w:szCs w:val="22"/>
              </w:rPr>
              <w:t xml:space="preserve">des von der Baufirma aus den Ergebnissen des Probefeldes abgeleiteten </w:t>
            </w:r>
            <w:r w:rsidRPr="00D32547">
              <w:rPr>
                <w:rFonts w:cs="Calibri"/>
                <w:szCs w:val="22"/>
              </w:rPr>
              <w:t>Einbauvorschlag</w:t>
            </w:r>
            <w:r w:rsidR="0018332C" w:rsidRPr="00D32547">
              <w:rPr>
                <w:rFonts w:cs="Calibri"/>
                <w:szCs w:val="22"/>
              </w:rPr>
              <w:t>es</w:t>
            </w:r>
            <w:r w:rsidRPr="00D32547">
              <w:rPr>
                <w:rFonts w:cs="Calibri"/>
                <w:szCs w:val="22"/>
              </w:rPr>
              <w:t xml:space="preserve"> AN</w:t>
            </w:r>
          </w:p>
        </w:tc>
        <w:tc>
          <w:tcPr>
            <w:tcW w:w="2835" w:type="dxa"/>
            <w:shd w:val="clear" w:color="auto" w:fill="DEEAF6"/>
          </w:tcPr>
          <w:p w:rsidR="00E95B3F" w:rsidRPr="00BD4F1B" w:rsidRDefault="00E95B3F" w:rsidP="00A215B7">
            <w:pPr>
              <w:spacing w:before="0" w:after="0"/>
              <w:rPr>
                <w:sz w:val="16"/>
                <w:szCs w:val="16"/>
              </w:rPr>
            </w:pPr>
          </w:p>
        </w:tc>
        <w:tc>
          <w:tcPr>
            <w:tcW w:w="986" w:type="dxa"/>
            <w:shd w:val="clear" w:color="auto" w:fill="auto"/>
          </w:tcPr>
          <w:p w:rsidR="00E95B3F" w:rsidRPr="00BD4F1B" w:rsidRDefault="00E95B3F" w:rsidP="00A215B7">
            <w:pPr>
              <w:spacing w:before="0" w:after="0"/>
              <w:rPr>
                <w:rFonts w:cs="Calibri"/>
                <w:szCs w:val="22"/>
              </w:rPr>
            </w:pPr>
            <w:r w:rsidRPr="00BD4F1B">
              <w:rPr>
                <w:rFonts w:cs="Calibri"/>
                <w:szCs w:val="22"/>
              </w:rPr>
              <w:t>BQS 9-1</w:t>
            </w:r>
          </w:p>
        </w:tc>
      </w:tr>
      <w:tr w:rsidR="00E95B3F" w:rsidRPr="00BD4F1B" w:rsidTr="00011F1D">
        <w:trPr>
          <w:cantSplit/>
        </w:trPr>
        <w:tc>
          <w:tcPr>
            <w:tcW w:w="429" w:type="dxa"/>
            <w:shd w:val="clear" w:color="auto" w:fill="auto"/>
          </w:tcPr>
          <w:p w:rsidR="00E95B3F" w:rsidRPr="00BD4F1B" w:rsidRDefault="00551019" w:rsidP="00A215B7">
            <w:pPr>
              <w:spacing w:before="0" w:after="0"/>
              <w:jc w:val="center"/>
              <w:rPr>
                <w:rFonts w:cs="Calibri"/>
                <w:szCs w:val="22"/>
              </w:rPr>
            </w:pPr>
            <w:r>
              <w:rPr>
                <w:rFonts w:cs="Calibri"/>
                <w:szCs w:val="22"/>
              </w:rPr>
              <w:t>27</w:t>
            </w:r>
          </w:p>
        </w:tc>
        <w:tc>
          <w:tcPr>
            <w:tcW w:w="5378" w:type="dxa"/>
            <w:shd w:val="clear" w:color="auto" w:fill="auto"/>
          </w:tcPr>
          <w:p w:rsidR="00E95B3F" w:rsidRPr="00D32547" w:rsidRDefault="00E95B3F" w:rsidP="00A215B7">
            <w:pPr>
              <w:spacing w:before="0" w:after="0"/>
              <w:rPr>
                <w:rFonts w:cs="Calibri"/>
                <w:szCs w:val="22"/>
              </w:rPr>
            </w:pPr>
            <w:r w:rsidRPr="00D32547">
              <w:rPr>
                <w:rFonts w:cs="Calibri"/>
                <w:szCs w:val="22"/>
              </w:rPr>
              <w:t>Inspektion der fachgerechten Lagerung von Baustoffen und Bauprodukten</w:t>
            </w:r>
          </w:p>
        </w:tc>
        <w:tc>
          <w:tcPr>
            <w:tcW w:w="2835" w:type="dxa"/>
            <w:shd w:val="clear" w:color="auto" w:fill="DEEAF6"/>
          </w:tcPr>
          <w:p w:rsidR="00E95B3F" w:rsidRPr="00BD4F1B" w:rsidRDefault="00E95B3F" w:rsidP="00A215B7">
            <w:pPr>
              <w:spacing w:before="0" w:after="0"/>
              <w:rPr>
                <w:sz w:val="16"/>
                <w:szCs w:val="16"/>
              </w:rPr>
            </w:pPr>
          </w:p>
        </w:tc>
        <w:tc>
          <w:tcPr>
            <w:tcW w:w="986" w:type="dxa"/>
            <w:shd w:val="clear" w:color="auto" w:fill="auto"/>
          </w:tcPr>
          <w:p w:rsidR="00E95B3F" w:rsidRPr="00BD4F1B" w:rsidRDefault="00E95B3F" w:rsidP="00A215B7">
            <w:pPr>
              <w:spacing w:before="0" w:after="0"/>
              <w:rPr>
                <w:rFonts w:cs="Calibri"/>
                <w:szCs w:val="22"/>
              </w:rPr>
            </w:pPr>
            <w:r w:rsidRPr="00BD4F1B">
              <w:rPr>
                <w:rFonts w:cs="Calibri"/>
                <w:szCs w:val="22"/>
              </w:rPr>
              <w:t xml:space="preserve">BQS 2-0 ff + mehrere EB </w:t>
            </w:r>
          </w:p>
        </w:tc>
      </w:tr>
      <w:tr w:rsidR="00CB0E95" w:rsidRPr="00BD4F1B" w:rsidTr="00011F1D">
        <w:trPr>
          <w:cantSplit/>
        </w:trPr>
        <w:tc>
          <w:tcPr>
            <w:tcW w:w="429" w:type="dxa"/>
            <w:shd w:val="clear" w:color="auto" w:fill="auto"/>
          </w:tcPr>
          <w:p w:rsidR="00CB0E95" w:rsidRPr="00BD4F1B" w:rsidRDefault="00551019" w:rsidP="00A215B7">
            <w:pPr>
              <w:spacing w:before="0" w:after="0"/>
              <w:jc w:val="center"/>
              <w:rPr>
                <w:rFonts w:cs="Calibri"/>
                <w:szCs w:val="22"/>
              </w:rPr>
            </w:pPr>
            <w:r>
              <w:rPr>
                <w:rFonts w:cs="Calibri"/>
                <w:szCs w:val="22"/>
              </w:rPr>
              <w:t>28</w:t>
            </w:r>
          </w:p>
        </w:tc>
        <w:tc>
          <w:tcPr>
            <w:tcW w:w="5378" w:type="dxa"/>
            <w:shd w:val="clear" w:color="auto" w:fill="auto"/>
          </w:tcPr>
          <w:p w:rsidR="00CB0E95" w:rsidRPr="00D32547" w:rsidRDefault="00CB0E95" w:rsidP="00A215B7">
            <w:pPr>
              <w:spacing w:before="0" w:after="0"/>
              <w:rPr>
                <w:rFonts w:cs="Calibri"/>
                <w:szCs w:val="22"/>
              </w:rPr>
            </w:pPr>
            <w:r w:rsidRPr="00D32547">
              <w:rPr>
                <w:rFonts w:cs="Calibri"/>
                <w:szCs w:val="22"/>
              </w:rPr>
              <w:t xml:space="preserve">Fachtechnische Begleitung des Baus gemäß </w:t>
            </w:r>
            <w:r w:rsidR="00DF7F07" w:rsidRPr="00D32547">
              <w:rPr>
                <w:rFonts w:cs="Calibri"/>
                <w:szCs w:val="22"/>
              </w:rPr>
              <w:t xml:space="preserve">bestätigtem </w:t>
            </w:r>
            <w:r w:rsidRPr="00D32547">
              <w:rPr>
                <w:rFonts w:cs="Calibri"/>
                <w:szCs w:val="22"/>
              </w:rPr>
              <w:t>Einbaukonzept,</w:t>
            </w:r>
            <w:r w:rsidR="00DF7F07" w:rsidRPr="00D32547">
              <w:rPr>
                <w:rFonts w:cs="Calibri"/>
                <w:szCs w:val="22"/>
              </w:rPr>
              <w:t xml:space="preserve"> allen</w:t>
            </w:r>
            <w:r w:rsidRPr="00D32547">
              <w:rPr>
                <w:rFonts w:cs="Calibri"/>
                <w:szCs w:val="22"/>
              </w:rPr>
              <w:t xml:space="preserve"> BQS und </w:t>
            </w:r>
            <w:r w:rsidR="00DF7F07" w:rsidRPr="00D32547">
              <w:rPr>
                <w:rFonts w:cs="Calibri"/>
                <w:szCs w:val="22"/>
              </w:rPr>
              <w:t>Eignungsbeurteilungen der LAGA</w:t>
            </w:r>
            <w:r w:rsidRPr="00D32547">
              <w:rPr>
                <w:rFonts w:cs="Calibri"/>
                <w:szCs w:val="22"/>
              </w:rPr>
              <w:t xml:space="preserve"> (einschl. Geräteeinsatz, erforderlicher Schutzmaßnahmen und Inspektion von Auflager sowie Überbauung durch nachfolgend aufzubringende Komponenten</w:t>
            </w:r>
            <w:r w:rsidR="00DF7F07" w:rsidRPr="00D32547">
              <w:rPr>
                <w:rFonts w:cs="Calibri"/>
                <w:szCs w:val="22"/>
              </w:rPr>
              <w:t xml:space="preserve">) mit arbeitstäglicher </w:t>
            </w:r>
            <w:r w:rsidR="00551019" w:rsidRPr="00D32547">
              <w:rPr>
                <w:rFonts w:cs="Calibri"/>
                <w:szCs w:val="22"/>
              </w:rPr>
              <w:t>Anwesenheit nach den Festlegungen im QMP</w:t>
            </w:r>
            <w:r w:rsidR="00DF7F07" w:rsidRPr="00D32547">
              <w:rPr>
                <w:rFonts w:cs="Calibri"/>
                <w:szCs w:val="22"/>
              </w:rPr>
              <w:t xml:space="preserve"> bei der </w:t>
            </w:r>
            <w:r w:rsidR="00551019" w:rsidRPr="00D32547">
              <w:rPr>
                <w:rFonts w:cs="Calibri"/>
                <w:szCs w:val="22"/>
              </w:rPr>
              <w:t xml:space="preserve">Ausführung </w:t>
            </w:r>
            <w:r w:rsidR="00DF7F07" w:rsidRPr="00D32547">
              <w:rPr>
                <w:rFonts w:cs="Calibri"/>
                <w:szCs w:val="22"/>
              </w:rPr>
              <w:t>von qualitäts</w:t>
            </w:r>
            <w:r w:rsidR="00551019" w:rsidRPr="00D32547">
              <w:rPr>
                <w:rFonts w:cs="Calibri"/>
                <w:szCs w:val="22"/>
              </w:rPr>
              <w:t>- und funktions</w:t>
            </w:r>
            <w:r w:rsidR="00DF7F07" w:rsidRPr="00D32547">
              <w:rPr>
                <w:rFonts w:cs="Calibri"/>
                <w:szCs w:val="22"/>
              </w:rPr>
              <w:t>bestimmenden Arbeiten / Maßnahmen sowie deren Dokumentation durch Tagesberichte mit den Inhalten und dem zeitlichen Umfang der Überwachung</w:t>
            </w:r>
          </w:p>
        </w:tc>
        <w:tc>
          <w:tcPr>
            <w:tcW w:w="2835" w:type="dxa"/>
            <w:shd w:val="clear" w:color="auto" w:fill="DEEAF6"/>
          </w:tcPr>
          <w:p w:rsidR="00CB0E95" w:rsidRPr="00BD4F1B" w:rsidRDefault="00CB0E95" w:rsidP="00A215B7">
            <w:pPr>
              <w:spacing w:before="0" w:after="0"/>
              <w:rPr>
                <w:sz w:val="16"/>
                <w:szCs w:val="16"/>
              </w:rPr>
            </w:pPr>
          </w:p>
        </w:tc>
        <w:tc>
          <w:tcPr>
            <w:tcW w:w="986" w:type="dxa"/>
            <w:shd w:val="clear" w:color="auto" w:fill="auto"/>
          </w:tcPr>
          <w:p w:rsidR="00CB0E95" w:rsidRPr="00BD4F1B" w:rsidRDefault="00CB0E95" w:rsidP="00A215B7">
            <w:pPr>
              <w:spacing w:before="0" w:after="0"/>
              <w:rPr>
                <w:rFonts w:cs="Calibri"/>
                <w:szCs w:val="22"/>
              </w:rPr>
            </w:pPr>
            <w:r w:rsidRPr="00BD4F1B">
              <w:rPr>
                <w:rFonts w:cs="Calibri"/>
                <w:szCs w:val="22"/>
              </w:rPr>
              <w:t>BQS 9-1, 2.0 ff, EB</w:t>
            </w:r>
          </w:p>
        </w:tc>
      </w:tr>
      <w:tr w:rsidR="00CB0E95" w:rsidRPr="00BD4F1B" w:rsidTr="00011F1D">
        <w:trPr>
          <w:cantSplit/>
        </w:trPr>
        <w:tc>
          <w:tcPr>
            <w:tcW w:w="429" w:type="dxa"/>
            <w:shd w:val="clear" w:color="auto" w:fill="auto"/>
          </w:tcPr>
          <w:p w:rsidR="00CB0E95" w:rsidRPr="00BD4F1B" w:rsidRDefault="00551019" w:rsidP="00A215B7">
            <w:pPr>
              <w:spacing w:before="0" w:after="0"/>
              <w:jc w:val="center"/>
              <w:rPr>
                <w:rFonts w:cs="Calibri"/>
                <w:szCs w:val="22"/>
              </w:rPr>
            </w:pPr>
            <w:r>
              <w:rPr>
                <w:rFonts w:cs="Calibri"/>
                <w:szCs w:val="22"/>
              </w:rPr>
              <w:t>29</w:t>
            </w:r>
          </w:p>
        </w:tc>
        <w:tc>
          <w:tcPr>
            <w:tcW w:w="5378" w:type="dxa"/>
            <w:shd w:val="clear" w:color="auto" w:fill="auto"/>
          </w:tcPr>
          <w:p w:rsidR="00CB0E95" w:rsidRPr="00BD4F1B" w:rsidRDefault="00CB0E95" w:rsidP="00A215B7">
            <w:pPr>
              <w:spacing w:before="0" w:after="0"/>
              <w:rPr>
                <w:rFonts w:cs="Calibri"/>
                <w:szCs w:val="22"/>
              </w:rPr>
            </w:pPr>
            <w:r w:rsidRPr="00BD4F1B">
              <w:rPr>
                <w:rFonts w:cs="Calibri"/>
                <w:szCs w:val="22"/>
              </w:rPr>
              <w:t>Durchführung Probenahmen, Feld- und Laboruntersuchungen</w:t>
            </w:r>
          </w:p>
        </w:tc>
        <w:tc>
          <w:tcPr>
            <w:tcW w:w="2835" w:type="dxa"/>
            <w:shd w:val="clear" w:color="auto" w:fill="DEEAF6"/>
          </w:tcPr>
          <w:p w:rsidR="00CB0E95" w:rsidRPr="00BD4F1B" w:rsidRDefault="00CB0E95" w:rsidP="00A215B7">
            <w:pPr>
              <w:spacing w:before="0" w:after="0"/>
              <w:rPr>
                <w:sz w:val="16"/>
                <w:szCs w:val="16"/>
              </w:rPr>
            </w:pPr>
          </w:p>
        </w:tc>
        <w:tc>
          <w:tcPr>
            <w:tcW w:w="986" w:type="dxa"/>
            <w:shd w:val="clear" w:color="auto" w:fill="auto"/>
          </w:tcPr>
          <w:p w:rsidR="00CB0E95" w:rsidRPr="00BD4F1B" w:rsidRDefault="00CB0E95" w:rsidP="00A215B7">
            <w:pPr>
              <w:spacing w:before="0" w:after="0"/>
              <w:rPr>
                <w:rFonts w:cs="Calibri"/>
                <w:szCs w:val="22"/>
              </w:rPr>
            </w:pPr>
            <w:r w:rsidRPr="00BD4F1B">
              <w:rPr>
                <w:rFonts w:cs="Calibri"/>
                <w:szCs w:val="22"/>
              </w:rPr>
              <w:t>BQS 9-1</w:t>
            </w:r>
          </w:p>
        </w:tc>
      </w:tr>
      <w:tr w:rsidR="00CB0E95" w:rsidRPr="00BD4F1B" w:rsidTr="00011F1D">
        <w:trPr>
          <w:cantSplit/>
        </w:trPr>
        <w:tc>
          <w:tcPr>
            <w:tcW w:w="429" w:type="dxa"/>
            <w:shd w:val="clear" w:color="auto" w:fill="auto"/>
          </w:tcPr>
          <w:p w:rsidR="00CB0E95" w:rsidRPr="00BD4F1B" w:rsidRDefault="00CB0E95" w:rsidP="00A215B7">
            <w:pPr>
              <w:spacing w:before="0" w:after="0"/>
              <w:jc w:val="center"/>
              <w:rPr>
                <w:rFonts w:cs="Calibri"/>
                <w:szCs w:val="22"/>
              </w:rPr>
            </w:pPr>
            <w:r w:rsidRPr="00BD4F1B">
              <w:rPr>
                <w:rFonts w:cs="Calibri"/>
                <w:szCs w:val="22"/>
              </w:rPr>
              <w:t>3</w:t>
            </w:r>
            <w:r w:rsidR="00551019">
              <w:rPr>
                <w:rFonts w:cs="Calibri"/>
                <w:szCs w:val="22"/>
              </w:rPr>
              <w:t>0</w:t>
            </w:r>
          </w:p>
        </w:tc>
        <w:tc>
          <w:tcPr>
            <w:tcW w:w="5378" w:type="dxa"/>
            <w:shd w:val="clear" w:color="auto" w:fill="auto"/>
          </w:tcPr>
          <w:p w:rsidR="00CB0E95" w:rsidRPr="00BD4F1B" w:rsidRDefault="00CB0E95" w:rsidP="00A215B7">
            <w:pPr>
              <w:spacing w:before="0" w:after="0"/>
              <w:rPr>
                <w:rFonts w:cs="Calibri"/>
                <w:szCs w:val="22"/>
              </w:rPr>
            </w:pPr>
            <w:r w:rsidRPr="00BD4F1B">
              <w:rPr>
                <w:rFonts w:cs="Calibri"/>
                <w:szCs w:val="22"/>
              </w:rPr>
              <w:t>Inspektion von Dicke, Gefälle und Oberflächenebenheit von Einbaulagen sowie der Einhaltung der Anforderungen an Lagenübergängen</w:t>
            </w:r>
          </w:p>
        </w:tc>
        <w:tc>
          <w:tcPr>
            <w:tcW w:w="2835" w:type="dxa"/>
            <w:shd w:val="clear" w:color="auto" w:fill="DEEAF6"/>
          </w:tcPr>
          <w:p w:rsidR="00CB0E95" w:rsidRPr="00BD4F1B" w:rsidRDefault="00CB0E95" w:rsidP="00A215B7">
            <w:pPr>
              <w:spacing w:before="0" w:after="0"/>
              <w:rPr>
                <w:sz w:val="16"/>
                <w:szCs w:val="16"/>
              </w:rPr>
            </w:pPr>
          </w:p>
        </w:tc>
        <w:tc>
          <w:tcPr>
            <w:tcW w:w="986" w:type="dxa"/>
            <w:shd w:val="clear" w:color="auto" w:fill="auto"/>
          </w:tcPr>
          <w:p w:rsidR="00CB0E95" w:rsidRPr="00BD4F1B" w:rsidRDefault="00CB0E95" w:rsidP="00A215B7">
            <w:pPr>
              <w:spacing w:before="0" w:after="0"/>
              <w:rPr>
                <w:rFonts w:cs="Calibri"/>
                <w:szCs w:val="22"/>
              </w:rPr>
            </w:pPr>
            <w:r w:rsidRPr="00BD4F1B">
              <w:rPr>
                <w:rFonts w:cs="Calibri"/>
                <w:szCs w:val="22"/>
              </w:rPr>
              <w:t>BQS 1.0, 2.0 ff, div. EB</w:t>
            </w:r>
          </w:p>
        </w:tc>
      </w:tr>
      <w:tr w:rsidR="00CB0E95" w:rsidRPr="00BD4F1B" w:rsidTr="00011F1D">
        <w:trPr>
          <w:cantSplit/>
        </w:trPr>
        <w:tc>
          <w:tcPr>
            <w:tcW w:w="429" w:type="dxa"/>
            <w:shd w:val="clear" w:color="auto" w:fill="auto"/>
          </w:tcPr>
          <w:p w:rsidR="00CB0E95" w:rsidRPr="00BD4F1B" w:rsidRDefault="00CB0E95" w:rsidP="00A215B7">
            <w:pPr>
              <w:spacing w:before="0" w:after="0"/>
              <w:jc w:val="center"/>
              <w:rPr>
                <w:rFonts w:cs="Calibri"/>
                <w:szCs w:val="22"/>
              </w:rPr>
            </w:pPr>
            <w:r w:rsidRPr="00BD4F1B">
              <w:rPr>
                <w:rFonts w:cs="Calibri"/>
                <w:szCs w:val="22"/>
              </w:rPr>
              <w:t>3</w:t>
            </w:r>
            <w:r w:rsidR="00551019">
              <w:rPr>
                <w:rFonts w:cs="Calibri"/>
                <w:szCs w:val="22"/>
              </w:rPr>
              <w:t>1</w:t>
            </w:r>
          </w:p>
        </w:tc>
        <w:tc>
          <w:tcPr>
            <w:tcW w:w="5378" w:type="dxa"/>
            <w:shd w:val="clear" w:color="auto" w:fill="auto"/>
          </w:tcPr>
          <w:p w:rsidR="00CB0E95" w:rsidRPr="00BD4F1B" w:rsidRDefault="00CB0E95" w:rsidP="00A215B7">
            <w:pPr>
              <w:spacing w:before="0" w:after="0"/>
              <w:rPr>
                <w:rFonts w:cs="Calibri"/>
                <w:szCs w:val="22"/>
              </w:rPr>
            </w:pPr>
            <w:r w:rsidRPr="00BD4F1B">
              <w:rPr>
                <w:rFonts w:cs="Calibri"/>
                <w:szCs w:val="22"/>
              </w:rPr>
              <w:t xml:space="preserve">Visuelle Inspektion und Vermessung der Oberfläche von Dichtungsauflager und jeder fertig gestellten Dichtungslage </w:t>
            </w:r>
          </w:p>
        </w:tc>
        <w:tc>
          <w:tcPr>
            <w:tcW w:w="2835" w:type="dxa"/>
            <w:shd w:val="clear" w:color="auto" w:fill="DEEAF6"/>
          </w:tcPr>
          <w:p w:rsidR="00CB0E95" w:rsidRPr="00BD4F1B" w:rsidRDefault="00CB0E95" w:rsidP="00A215B7">
            <w:pPr>
              <w:spacing w:before="0" w:after="0"/>
              <w:rPr>
                <w:sz w:val="16"/>
                <w:szCs w:val="16"/>
              </w:rPr>
            </w:pPr>
          </w:p>
        </w:tc>
        <w:tc>
          <w:tcPr>
            <w:tcW w:w="986" w:type="dxa"/>
            <w:shd w:val="clear" w:color="auto" w:fill="auto"/>
          </w:tcPr>
          <w:p w:rsidR="00CB0E95" w:rsidRPr="00BD4F1B" w:rsidRDefault="00CB0E95" w:rsidP="00A215B7">
            <w:pPr>
              <w:spacing w:before="0" w:after="0"/>
              <w:rPr>
                <w:rFonts w:cs="Calibri"/>
                <w:szCs w:val="22"/>
              </w:rPr>
            </w:pPr>
            <w:r w:rsidRPr="00BD4F1B">
              <w:rPr>
                <w:rFonts w:cs="Calibri"/>
                <w:szCs w:val="22"/>
              </w:rPr>
              <w:t>BQS 2-1 ff</w:t>
            </w:r>
          </w:p>
        </w:tc>
      </w:tr>
      <w:tr w:rsidR="00CB0E95" w:rsidRPr="00BD4F1B" w:rsidTr="00011F1D">
        <w:trPr>
          <w:cantSplit/>
        </w:trPr>
        <w:tc>
          <w:tcPr>
            <w:tcW w:w="429" w:type="dxa"/>
            <w:shd w:val="clear" w:color="auto" w:fill="auto"/>
          </w:tcPr>
          <w:p w:rsidR="00CB0E95" w:rsidRPr="00BD4F1B" w:rsidRDefault="00CB0E95" w:rsidP="00A215B7">
            <w:pPr>
              <w:spacing w:before="0" w:after="0"/>
              <w:jc w:val="center"/>
              <w:rPr>
                <w:rFonts w:cs="Calibri"/>
                <w:szCs w:val="22"/>
              </w:rPr>
            </w:pPr>
            <w:r w:rsidRPr="00BD4F1B">
              <w:rPr>
                <w:rFonts w:cs="Calibri"/>
                <w:szCs w:val="22"/>
              </w:rPr>
              <w:t>3</w:t>
            </w:r>
            <w:r w:rsidR="00551019">
              <w:rPr>
                <w:rFonts w:cs="Calibri"/>
                <w:szCs w:val="22"/>
              </w:rPr>
              <w:t>2</w:t>
            </w:r>
          </w:p>
        </w:tc>
        <w:tc>
          <w:tcPr>
            <w:tcW w:w="5378" w:type="dxa"/>
            <w:shd w:val="clear" w:color="auto" w:fill="auto"/>
          </w:tcPr>
          <w:p w:rsidR="00CB0E95" w:rsidRPr="00BD4F1B" w:rsidRDefault="00CB0E95" w:rsidP="00A215B7">
            <w:pPr>
              <w:spacing w:before="0" w:after="0"/>
              <w:rPr>
                <w:rFonts w:cs="Calibri"/>
                <w:szCs w:val="22"/>
              </w:rPr>
            </w:pPr>
            <w:r w:rsidRPr="00BD4F1B">
              <w:rPr>
                <w:rFonts w:cs="Calibri"/>
                <w:szCs w:val="22"/>
              </w:rPr>
              <w:t>Inspektion von Stoß- und Nahtausführungen, des Verbundes zwischen Lagen und Schichten und von Anschlüssen und Durchdringungen</w:t>
            </w:r>
          </w:p>
        </w:tc>
        <w:tc>
          <w:tcPr>
            <w:tcW w:w="2835" w:type="dxa"/>
            <w:shd w:val="clear" w:color="auto" w:fill="DEEAF6"/>
          </w:tcPr>
          <w:p w:rsidR="00CB0E95" w:rsidRPr="00BD4F1B" w:rsidRDefault="00CB0E95" w:rsidP="00A215B7">
            <w:pPr>
              <w:spacing w:before="0" w:after="0"/>
              <w:rPr>
                <w:sz w:val="16"/>
                <w:szCs w:val="16"/>
              </w:rPr>
            </w:pPr>
          </w:p>
        </w:tc>
        <w:tc>
          <w:tcPr>
            <w:tcW w:w="986" w:type="dxa"/>
            <w:shd w:val="clear" w:color="auto" w:fill="auto"/>
          </w:tcPr>
          <w:p w:rsidR="00CB0E95" w:rsidRPr="00BD4F1B" w:rsidRDefault="00CB0E95" w:rsidP="00A215B7">
            <w:pPr>
              <w:spacing w:before="0" w:after="0"/>
              <w:rPr>
                <w:rFonts w:cs="Calibri"/>
                <w:szCs w:val="22"/>
              </w:rPr>
            </w:pPr>
            <w:r w:rsidRPr="00BD4F1B">
              <w:rPr>
                <w:rFonts w:cs="Calibri"/>
                <w:szCs w:val="22"/>
              </w:rPr>
              <w:t xml:space="preserve">BQS 2.0, EB </w:t>
            </w:r>
          </w:p>
        </w:tc>
      </w:tr>
      <w:tr w:rsidR="00CB0E95" w:rsidRPr="00BD4F1B" w:rsidTr="00011F1D">
        <w:trPr>
          <w:cantSplit/>
        </w:trPr>
        <w:tc>
          <w:tcPr>
            <w:tcW w:w="429" w:type="dxa"/>
            <w:shd w:val="clear" w:color="auto" w:fill="auto"/>
          </w:tcPr>
          <w:p w:rsidR="00CB0E95" w:rsidRPr="00BD4F1B" w:rsidRDefault="00CB0E95" w:rsidP="00A215B7">
            <w:pPr>
              <w:spacing w:before="0" w:after="0"/>
              <w:jc w:val="center"/>
              <w:rPr>
                <w:rFonts w:cs="Calibri"/>
                <w:szCs w:val="22"/>
              </w:rPr>
            </w:pPr>
            <w:r w:rsidRPr="00BD4F1B">
              <w:rPr>
                <w:rFonts w:cs="Calibri"/>
                <w:szCs w:val="22"/>
              </w:rPr>
              <w:t>3</w:t>
            </w:r>
            <w:r w:rsidR="00551019">
              <w:rPr>
                <w:rFonts w:cs="Calibri"/>
                <w:szCs w:val="22"/>
              </w:rPr>
              <w:t>3</w:t>
            </w:r>
          </w:p>
        </w:tc>
        <w:tc>
          <w:tcPr>
            <w:tcW w:w="5378" w:type="dxa"/>
            <w:shd w:val="clear" w:color="auto" w:fill="auto"/>
          </w:tcPr>
          <w:p w:rsidR="00CB0E95" w:rsidRPr="00BD4F1B" w:rsidRDefault="00CB0E95" w:rsidP="00A215B7">
            <w:pPr>
              <w:spacing w:before="0" w:after="0"/>
              <w:rPr>
                <w:rFonts w:cs="Calibri"/>
                <w:szCs w:val="22"/>
              </w:rPr>
            </w:pPr>
            <w:r w:rsidRPr="00BD4F1B">
              <w:rPr>
                <w:rFonts w:cs="Calibri"/>
                <w:szCs w:val="22"/>
              </w:rPr>
              <w:t xml:space="preserve">Inspektion der Homogenität des eingebauten Dichtungsmaterials (Wassergehalt, Verdichtungsgrad, Rissfreiheit, Freiheit von Stücken &gt; 32 mm) </w:t>
            </w:r>
          </w:p>
        </w:tc>
        <w:tc>
          <w:tcPr>
            <w:tcW w:w="2835" w:type="dxa"/>
            <w:shd w:val="clear" w:color="auto" w:fill="DEEAF6"/>
          </w:tcPr>
          <w:p w:rsidR="00CB0E95" w:rsidRPr="00BD4F1B" w:rsidRDefault="00CB0E95" w:rsidP="00A215B7">
            <w:pPr>
              <w:spacing w:before="0" w:after="0"/>
              <w:rPr>
                <w:sz w:val="16"/>
                <w:szCs w:val="16"/>
              </w:rPr>
            </w:pPr>
          </w:p>
        </w:tc>
        <w:tc>
          <w:tcPr>
            <w:tcW w:w="986" w:type="dxa"/>
            <w:shd w:val="clear" w:color="auto" w:fill="auto"/>
          </w:tcPr>
          <w:p w:rsidR="00CB0E95" w:rsidRPr="00BD4F1B" w:rsidRDefault="00CB0E95" w:rsidP="00A215B7">
            <w:pPr>
              <w:spacing w:before="0" w:after="0"/>
              <w:rPr>
                <w:rFonts w:cs="Calibri"/>
                <w:szCs w:val="22"/>
              </w:rPr>
            </w:pPr>
            <w:r w:rsidRPr="00BD4F1B">
              <w:rPr>
                <w:rFonts w:cs="Calibri"/>
                <w:szCs w:val="22"/>
              </w:rPr>
              <w:t>BQS 2-1 ff</w:t>
            </w:r>
          </w:p>
        </w:tc>
      </w:tr>
      <w:tr w:rsidR="00CB0E95" w:rsidRPr="00BD4F1B" w:rsidTr="00011F1D">
        <w:trPr>
          <w:cantSplit/>
        </w:trPr>
        <w:tc>
          <w:tcPr>
            <w:tcW w:w="429" w:type="dxa"/>
            <w:shd w:val="clear" w:color="auto" w:fill="auto"/>
          </w:tcPr>
          <w:p w:rsidR="00CB0E95" w:rsidRPr="00BD4F1B" w:rsidRDefault="00CB0E95" w:rsidP="00A215B7">
            <w:pPr>
              <w:spacing w:before="0" w:after="0"/>
              <w:jc w:val="center"/>
              <w:rPr>
                <w:rFonts w:cs="Calibri"/>
                <w:szCs w:val="22"/>
              </w:rPr>
            </w:pPr>
            <w:r w:rsidRPr="00BD4F1B">
              <w:rPr>
                <w:rFonts w:cs="Calibri"/>
                <w:szCs w:val="22"/>
              </w:rPr>
              <w:t>3</w:t>
            </w:r>
            <w:r w:rsidR="00551019">
              <w:rPr>
                <w:rFonts w:cs="Calibri"/>
                <w:szCs w:val="22"/>
              </w:rPr>
              <w:t>4</w:t>
            </w:r>
          </w:p>
        </w:tc>
        <w:tc>
          <w:tcPr>
            <w:tcW w:w="5378" w:type="dxa"/>
            <w:shd w:val="clear" w:color="auto" w:fill="auto"/>
          </w:tcPr>
          <w:p w:rsidR="00CB0E95" w:rsidRPr="00BD4F1B" w:rsidRDefault="00CB0E95" w:rsidP="00A215B7">
            <w:pPr>
              <w:spacing w:before="0" w:after="0"/>
              <w:rPr>
                <w:rFonts w:cs="Calibri"/>
                <w:szCs w:val="22"/>
              </w:rPr>
            </w:pPr>
            <w:r w:rsidRPr="00BD4F1B">
              <w:rPr>
                <w:rFonts w:cs="Calibri"/>
                <w:szCs w:val="22"/>
              </w:rPr>
              <w:t>Inspektion hinsichtlich Entmischung oder Korn-Zertrümmerung von mineralischen Entwässerungsschichtmaterialien</w:t>
            </w:r>
          </w:p>
        </w:tc>
        <w:tc>
          <w:tcPr>
            <w:tcW w:w="2835" w:type="dxa"/>
            <w:shd w:val="clear" w:color="auto" w:fill="DEEAF6"/>
          </w:tcPr>
          <w:p w:rsidR="00CB0E95" w:rsidRPr="00BD4F1B" w:rsidRDefault="00CB0E95" w:rsidP="00A215B7">
            <w:pPr>
              <w:spacing w:before="0" w:after="0"/>
              <w:rPr>
                <w:sz w:val="16"/>
                <w:szCs w:val="16"/>
              </w:rPr>
            </w:pPr>
          </w:p>
        </w:tc>
        <w:tc>
          <w:tcPr>
            <w:tcW w:w="986" w:type="dxa"/>
            <w:shd w:val="clear" w:color="auto" w:fill="auto"/>
          </w:tcPr>
          <w:p w:rsidR="00CB0E95" w:rsidRPr="00BD4F1B" w:rsidRDefault="00CB0E95" w:rsidP="00A215B7">
            <w:pPr>
              <w:spacing w:before="0" w:after="0"/>
              <w:rPr>
                <w:rFonts w:cs="Calibri"/>
                <w:szCs w:val="22"/>
              </w:rPr>
            </w:pPr>
            <w:r w:rsidRPr="00BD4F1B">
              <w:rPr>
                <w:rFonts w:cs="Calibri"/>
                <w:szCs w:val="22"/>
              </w:rPr>
              <w:t>BQS 3-1 (GDA E 4-02)</w:t>
            </w:r>
          </w:p>
        </w:tc>
      </w:tr>
      <w:tr w:rsidR="00CB0E95" w:rsidRPr="00BD4F1B" w:rsidTr="00011F1D">
        <w:trPr>
          <w:cantSplit/>
        </w:trPr>
        <w:tc>
          <w:tcPr>
            <w:tcW w:w="429" w:type="dxa"/>
            <w:shd w:val="clear" w:color="auto" w:fill="auto"/>
          </w:tcPr>
          <w:p w:rsidR="00CB0E95" w:rsidRPr="00BD4F1B" w:rsidRDefault="00CB0E95" w:rsidP="00A215B7">
            <w:pPr>
              <w:spacing w:before="0" w:after="0"/>
              <w:jc w:val="center"/>
              <w:rPr>
                <w:rFonts w:cs="Calibri"/>
                <w:szCs w:val="22"/>
              </w:rPr>
            </w:pPr>
            <w:r w:rsidRPr="00BD4F1B">
              <w:rPr>
                <w:rFonts w:cs="Calibri"/>
                <w:szCs w:val="22"/>
              </w:rPr>
              <w:t>3</w:t>
            </w:r>
            <w:r w:rsidR="00551019">
              <w:rPr>
                <w:rFonts w:cs="Calibri"/>
                <w:szCs w:val="22"/>
              </w:rPr>
              <w:t>5</w:t>
            </w:r>
          </w:p>
        </w:tc>
        <w:tc>
          <w:tcPr>
            <w:tcW w:w="5378" w:type="dxa"/>
            <w:shd w:val="clear" w:color="auto" w:fill="auto"/>
          </w:tcPr>
          <w:p w:rsidR="00CB0E95" w:rsidRPr="00BD4F1B" w:rsidRDefault="00CB0E95" w:rsidP="00A215B7">
            <w:pPr>
              <w:spacing w:before="0" w:after="0"/>
              <w:rPr>
                <w:rFonts w:cs="Calibri"/>
                <w:szCs w:val="22"/>
              </w:rPr>
            </w:pPr>
            <w:r w:rsidRPr="00BD4F1B">
              <w:rPr>
                <w:rFonts w:cs="Calibri"/>
                <w:szCs w:val="22"/>
              </w:rPr>
              <w:t xml:space="preserve">Inspektion von eingebauten Kapillarsperren hinsichtlich Materialtrennung Kapillarblock und </w:t>
            </w:r>
            <w:r w:rsidR="00680600">
              <w:rPr>
                <w:rFonts w:cs="Calibri"/>
                <w:szCs w:val="22"/>
              </w:rPr>
              <w:t>-</w:t>
            </w:r>
            <w:r w:rsidRPr="00BD4F1B">
              <w:rPr>
                <w:rFonts w:cs="Calibri"/>
                <w:szCs w:val="22"/>
              </w:rPr>
              <w:t>schicht bei Einbau und Überschüttung sowie ausreichendem Schutz vor dem Eintrag von Fremdkörnungen und Feinkorn</w:t>
            </w:r>
          </w:p>
        </w:tc>
        <w:tc>
          <w:tcPr>
            <w:tcW w:w="2835" w:type="dxa"/>
            <w:shd w:val="clear" w:color="auto" w:fill="DEEAF6"/>
          </w:tcPr>
          <w:p w:rsidR="00CB0E95" w:rsidRPr="00BD4F1B" w:rsidRDefault="00CB0E95" w:rsidP="00A215B7">
            <w:pPr>
              <w:spacing w:before="0" w:after="0"/>
              <w:rPr>
                <w:sz w:val="16"/>
                <w:szCs w:val="16"/>
              </w:rPr>
            </w:pPr>
          </w:p>
        </w:tc>
        <w:tc>
          <w:tcPr>
            <w:tcW w:w="986" w:type="dxa"/>
            <w:shd w:val="clear" w:color="auto" w:fill="auto"/>
          </w:tcPr>
          <w:p w:rsidR="00CB0E95" w:rsidRPr="00BD4F1B" w:rsidRDefault="00CB0E95" w:rsidP="00A215B7">
            <w:pPr>
              <w:spacing w:before="0" w:after="0"/>
              <w:rPr>
                <w:rFonts w:cs="Calibri"/>
                <w:szCs w:val="22"/>
              </w:rPr>
            </w:pPr>
            <w:r w:rsidRPr="00BD4F1B">
              <w:rPr>
                <w:rFonts w:cs="Calibri"/>
                <w:szCs w:val="22"/>
              </w:rPr>
              <w:t>BQS 5-6 (GDA 2-33)</w:t>
            </w:r>
          </w:p>
        </w:tc>
      </w:tr>
      <w:tr w:rsidR="00CB0E95" w:rsidRPr="00BD4F1B" w:rsidTr="00011F1D">
        <w:trPr>
          <w:cantSplit/>
        </w:trPr>
        <w:tc>
          <w:tcPr>
            <w:tcW w:w="429" w:type="dxa"/>
            <w:shd w:val="clear" w:color="auto" w:fill="auto"/>
          </w:tcPr>
          <w:p w:rsidR="00CB0E95" w:rsidRPr="00BD4F1B" w:rsidRDefault="00551019" w:rsidP="00A215B7">
            <w:pPr>
              <w:spacing w:before="0" w:after="0"/>
              <w:jc w:val="center"/>
              <w:rPr>
                <w:rFonts w:cs="Calibri"/>
                <w:szCs w:val="22"/>
              </w:rPr>
            </w:pPr>
            <w:r>
              <w:rPr>
                <w:rFonts w:cs="Calibri"/>
                <w:szCs w:val="22"/>
              </w:rPr>
              <w:lastRenderedPageBreak/>
              <w:t>36</w:t>
            </w:r>
          </w:p>
        </w:tc>
        <w:tc>
          <w:tcPr>
            <w:tcW w:w="5378" w:type="dxa"/>
            <w:shd w:val="clear" w:color="auto" w:fill="auto"/>
          </w:tcPr>
          <w:p w:rsidR="00CB0E95" w:rsidRPr="00BD4F1B" w:rsidRDefault="00CB0E95" w:rsidP="00A215B7">
            <w:pPr>
              <w:spacing w:before="0" w:after="0"/>
              <w:rPr>
                <w:rFonts w:cs="Calibri"/>
                <w:szCs w:val="22"/>
              </w:rPr>
            </w:pPr>
            <w:r w:rsidRPr="00BD4F1B">
              <w:rPr>
                <w:rFonts w:cs="Calibri"/>
                <w:szCs w:val="22"/>
              </w:rPr>
              <w:t>Inspektion der Verlegung von GTD einschließlich Inspektion der Verlegevoraussetzungen und der Verlegung selbst gemäß Verlegeanleitung, Q</w:t>
            </w:r>
            <w:r w:rsidR="00551019">
              <w:rPr>
                <w:rFonts w:cs="Calibri"/>
                <w:szCs w:val="22"/>
              </w:rPr>
              <w:t>ualitätsüberwachung</w:t>
            </w:r>
            <w:r w:rsidRPr="00BD4F1B">
              <w:rPr>
                <w:rFonts w:cs="Calibri"/>
                <w:szCs w:val="22"/>
              </w:rPr>
              <w:t xml:space="preserve"> der Produkte und </w:t>
            </w:r>
            <w:r w:rsidR="00551019">
              <w:rPr>
                <w:rFonts w:cs="Calibri"/>
                <w:szCs w:val="22"/>
              </w:rPr>
              <w:t xml:space="preserve">Prüfen des </w:t>
            </w:r>
            <w:r w:rsidRPr="00BD4F1B">
              <w:rPr>
                <w:rFonts w:cs="Calibri"/>
                <w:szCs w:val="22"/>
              </w:rPr>
              <w:t>Einbauvorschlag</w:t>
            </w:r>
            <w:r w:rsidR="00551019">
              <w:rPr>
                <w:rFonts w:cs="Calibri"/>
                <w:szCs w:val="22"/>
              </w:rPr>
              <w:t>s</w:t>
            </w:r>
            <w:r w:rsidRPr="00BD4F1B">
              <w:rPr>
                <w:rFonts w:cs="Calibri"/>
                <w:szCs w:val="22"/>
              </w:rPr>
              <w:t xml:space="preserve"> einschließlich Überschüttung sowie erforderlicher Schutzmaßnahmen gegen Verschieben, Feuchtigkeit und Quellen ohne Mindestauflast</w:t>
            </w:r>
          </w:p>
        </w:tc>
        <w:tc>
          <w:tcPr>
            <w:tcW w:w="2835" w:type="dxa"/>
            <w:shd w:val="clear" w:color="auto" w:fill="DEEAF6"/>
          </w:tcPr>
          <w:p w:rsidR="00CB0E95" w:rsidRPr="00BD4F1B" w:rsidRDefault="00CB0E95" w:rsidP="00A215B7">
            <w:pPr>
              <w:spacing w:before="0" w:after="0"/>
              <w:rPr>
                <w:sz w:val="16"/>
                <w:szCs w:val="16"/>
              </w:rPr>
            </w:pPr>
          </w:p>
        </w:tc>
        <w:tc>
          <w:tcPr>
            <w:tcW w:w="986" w:type="dxa"/>
            <w:shd w:val="clear" w:color="auto" w:fill="auto"/>
          </w:tcPr>
          <w:p w:rsidR="00CB0E95" w:rsidRPr="00BD4F1B" w:rsidRDefault="00CB0E95" w:rsidP="00A215B7">
            <w:pPr>
              <w:spacing w:before="0" w:after="0"/>
              <w:rPr>
                <w:rFonts w:cs="Calibri"/>
                <w:szCs w:val="22"/>
              </w:rPr>
            </w:pPr>
            <w:r w:rsidRPr="00BD4F1B">
              <w:rPr>
                <w:rFonts w:cs="Calibri"/>
                <w:szCs w:val="22"/>
              </w:rPr>
              <w:t>BQS 5-5, EB der Produkte</w:t>
            </w:r>
          </w:p>
        </w:tc>
      </w:tr>
      <w:tr w:rsidR="00CB0E95" w:rsidRPr="00BD4F1B" w:rsidTr="00011F1D">
        <w:trPr>
          <w:cantSplit/>
        </w:trPr>
        <w:tc>
          <w:tcPr>
            <w:tcW w:w="429" w:type="dxa"/>
            <w:shd w:val="clear" w:color="auto" w:fill="auto"/>
          </w:tcPr>
          <w:p w:rsidR="00CB0E95" w:rsidRPr="00BD4F1B" w:rsidRDefault="00551019" w:rsidP="00A215B7">
            <w:pPr>
              <w:spacing w:before="0" w:after="0"/>
              <w:jc w:val="center"/>
              <w:rPr>
                <w:rFonts w:cs="Calibri"/>
                <w:szCs w:val="22"/>
              </w:rPr>
            </w:pPr>
            <w:r>
              <w:rPr>
                <w:rFonts w:cs="Calibri"/>
                <w:szCs w:val="22"/>
              </w:rPr>
              <w:t>37</w:t>
            </w:r>
          </w:p>
        </w:tc>
        <w:tc>
          <w:tcPr>
            <w:tcW w:w="5378" w:type="dxa"/>
            <w:shd w:val="clear" w:color="auto" w:fill="auto"/>
          </w:tcPr>
          <w:p w:rsidR="00CB0E95" w:rsidRPr="00BD4F1B" w:rsidRDefault="00CB0E95" w:rsidP="00A215B7">
            <w:pPr>
              <w:spacing w:before="0" w:after="0"/>
              <w:rPr>
                <w:rFonts w:cs="Calibri"/>
                <w:szCs w:val="22"/>
              </w:rPr>
            </w:pPr>
            <w:r w:rsidRPr="00BD4F1B">
              <w:rPr>
                <w:rFonts w:cs="Calibri"/>
                <w:szCs w:val="22"/>
              </w:rPr>
              <w:t>Durchführung und Inspektion des fachgerechten Verschlusses von Schürfen, Sondieröffnungen und Probenahmestellen</w:t>
            </w:r>
          </w:p>
        </w:tc>
        <w:tc>
          <w:tcPr>
            <w:tcW w:w="2835" w:type="dxa"/>
            <w:shd w:val="clear" w:color="auto" w:fill="DEEAF6"/>
          </w:tcPr>
          <w:p w:rsidR="00CB0E95" w:rsidRPr="00BD4F1B" w:rsidRDefault="00CB0E95" w:rsidP="00A215B7">
            <w:pPr>
              <w:spacing w:before="0" w:after="0"/>
              <w:rPr>
                <w:sz w:val="16"/>
                <w:szCs w:val="16"/>
              </w:rPr>
            </w:pPr>
          </w:p>
        </w:tc>
        <w:tc>
          <w:tcPr>
            <w:tcW w:w="986" w:type="dxa"/>
            <w:shd w:val="clear" w:color="auto" w:fill="auto"/>
          </w:tcPr>
          <w:p w:rsidR="00CB0E95" w:rsidRPr="00BD4F1B" w:rsidRDefault="00CB0E95" w:rsidP="00A215B7">
            <w:pPr>
              <w:spacing w:before="0" w:after="0"/>
              <w:rPr>
                <w:rFonts w:cs="Calibri"/>
                <w:szCs w:val="22"/>
              </w:rPr>
            </w:pPr>
            <w:r w:rsidRPr="00BD4F1B">
              <w:rPr>
                <w:rFonts w:cs="Calibri"/>
                <w:szCs w:val="22"/>
              </w:rPr>
              <w:t>BQS 2-1 ff</w:t>
            </w:r>
          </w:p>
        </w:tc>
      </w:tr>
      <w:tr w:rsidR="00CB0E95" w:rsidRPr="00BD4F1B" w:rsidTr="00011F1D">
        <w:trPr>
          <w:cantSplit/>
        </w:trPr>
        <w:tc>
          <w:tcPr>
            <w:tcW w:w="429" w:type="dxa"/>
            <w:shd w:val="clear" w:color="auto" w:fill="auto"/>
          </w:tcPr>
          <w:p w:rsidR="00CB0E95" w:rsidRPr="00BD4F1B" w:rsidRDefault="00551019" w:rsidP="00A215B7">
            <w:pPr>
              <w:spacing w:before="0" w:after="0"/>
              <w:jc w:val="center"/>
              <w:rPr>
                <w:rFonts w:cs="Calibri"/>
                <w:szCs w:val="22"/>
              </w:rPr>
            </w:pPr>
            <w:r>
              <w:rPr>
                <w:rFonts w:cs="Calibri"/>
                <w:szCs w:val="22"/>
              </w:rPr>
              <w:t>38</w:t>
            </w:r>
          </w:p>
        </w:tc>
        <w:tc>
          <w:tcPr>
            <w:tcW w:w="5378" w:type="dxa"/>
            <w:shd w:val="clear" w:color="auto" w:fill="auto"/>
          </w:tcPr>
          <w:p w:rsidR="00CB0E95" w:rsidRPr="00BD4F1B" w:rsidRDefault="00CB0E95" w:rsidP="00A215B7">
            <w:pPr>
              <w:spacing w:before="0" w:after="0"/>
              <w:rPr>
                <w:rFonts w:cs="Calibri"/>
                <w:szCs w:val="22"/>
              </w:rPr>
            </w:pPr>
            <w:r w:rsidRPr="00BD4F1B">
              <w:rPr>
                <w:rFonts w:cs="Calibri"/>
                <w:szCs w:val="22"/>
              </w:rPr>
              <w:t>Stichprobenartige Kontrolle der</w:t>
            </w:r>
            <w:r w:rsidR="00551019">
              <w:rPr>
                <w:rFonts w:cs="Calibri"/>
                <w:szCs w:val="22"/>
              </w:rPr>
              <w:t xml:space="preserve"> Durchführung der</w:t>
            </w:r>
            <w:r w:rsidRPr="00BD4F1B">
              <w:rPr>
                <w:rFonts w:cs="Calibri"/>
                <w:szCs w:val="22"/>
              </w:rPr>
              <w:t xml:space="preserve"> Eigenprüfung und laufende Prüfung der Ergebnisse der Eigenprüfung auf Plausibilität und Erfüllung QM-Anforderungen</w:t>
            </w:r>
            <w:r w:rsidR="00551019">
              <w:rPr>
                <w:rFonts w:cs="Calibri"/>
                <w:szCs w:val="22"/>
              </w:rPr>
              <w:t>, einschließlich Vorgehensweise bei Abweichungen (Information an zuständige Behörde)</w:t>
            </w:r>
          </w:p>
        </w:tc>
        <w:tc>
          <w:tcPr>
            <w:tcW w:w="2835" w:type="dxa"/>
            <w:shd w:val="clear" w:color="auto" w:fill="DEEAF6"/>
          </w:tcPr>
          <w:p w:rsidR="00CB0E95" w:rsidRPr="00BD4F1B" w:rsidRDefault="00CB0E95" w:rsidP="00A215B7">
            <w:pPr>
              <w:spacing w:before="0" w:after="0"/>
              <w:rPr>
                <w:sz w:val="16"/>
                <w:szCs w:val="16"/>
              </w:rPr>
            </w:pPr>
          </w:p>
        </w:tc>
        <w:tc>
          <w:tcPr>
            <w:tcW w:w="986" w:type="dxa"/>
            <w:shd w:val="clear" w:color="auto" w:fill="auto"/>
          </w:tcPr>
          <w:p w:rsidR="00CB0E95" w:rsidRPr="00BD4F1B" w:rsidRDefault="00CB0E95" w:rsidP="00A215B7">
            <w:pPr>
              <w:spacing w:before="0" w:after="0"/>
              <w:rPr>
                <w:rFonts w:cs="Calibri"/>
                <w:szCs w:val="22"/>
              </w:rPr>
            </w:pPr>
            <w:r w:rsidRPr="00BD4F1B">
              <w:rPr>
                <w:rFonts w:cs="Calibri"/>
                <w:szCs w:val="22"/>
              </w:rPr>
              <w:t>BQS 9-1</w:t>
            </w:r>
          </w:p>
        </w:tc>
      </w:tr>
      <w:tr w:rsidR="00CB0E95" w:rsidRPr="00BD4F1B" w:rsidTr="00011F1D">
        <w:trPr>
          <w:cantSplit/>
        </w:trPr>
        <w:tc>
          <w:tcPr>
            <w:tcW w:w="429" w:type="dxa"/>
            <w:shd w:val="clear" w:color="auto" w:fill="auto"/>
          </w:tcPr>
          <w:p w:rsidR="00CB0E95" w:rsidRPr="00BD4F1B" w:rsidRDefault="00551019" w:rsidP="00A215B7">
            <w:pPr>
              <w:spacing w:before="0" w:after="0"/>
              <w:jc w:val="center"/>
              <w:rPr>
                <w:rFonts w:cs="Calibri"/>
                <w:szCs w:val="22"/>
              </w:rPr>
            </w:pPr>
            <w:r>
              <w:rPr>
                <w:rFonts w:cs="Calibri"/>
                <w:szCs w:val="22"/>
              </w:rPr>
              <w:t>39</w:t>
            </w:r>
          </w:p>
        </w:tc>
        <w:tc>
          <w:tcPr>
            <w:tcW w:w="5378" w:type="dxa"/>
            <w:shd w:val="clear" w:color="auto" w:fill="auto"/>
          </w:tcPr>
          <w:p w:rsidR="00CB0E95" w:rsidRPr="00BD4F1B" w:rsidRDefault="00CB0E95" w:rsidP="00A215B7">
            <w:pPr>
              <w:spacing w:before="0" w:after="0"/>
              <w:rPr>
                <w:rFonts w:cs="Calibri"/>
                <w:szCs w:val="22"/>
              </w:rPr>
            </w:pPr>
            <w:r w:rsidRPr="00BD4F1B">
              <w:rPr>
                <w:rFonts w:cs="Calibri"/>
                <w:szCs w:val="22"/>
              </w:rPr>
              <w:t>Dokumentation der Beprobung in Listen und Lageplänen</w:t>
            </w:r>
          </w:p>
        </w:tc>
        <w:tc>
          <w:tcPr>
            <w:tcW w:w="2835" w:type="dxa"/>
            <w:shd w:val="clear" w:color="auto" w:fill="DEEAF6"/>
          </w:tcPr>
          <w:p w:rsidR="00CB0E95" w:rsidRPr="00BD4F1B" w:rsidRDefault="00CB0E95" w:rsidP="00A215B7">
            <w:pPr>
              <w:spacing w:before="0" w:after="0"/>
              <w:rPr>
                <w:sz w:val="16"/>
                <w:szCs w:val="16"/>
              </w:rPr>
            </w:pPr>
          </w:p>
        </w:tc>
        <w:tc>
          <w:tcPr>
            <w:tcW w:w="986" w:type="dxa"/>
            <w:shd w:val="clear" w:color="auto" w:fill="auto"/>
          </w:tcPr>
          <w:p w:rsidR="00CB0E95" w:rsidRPr="00BD4F1B" w:rsidRDefault="00CB0E95" w:rsidP="00A215B7">
            <w:pPr>
              <w:spacing w:before="0" w:after="0"/>
              <w:rPr>
                <w:rFonts w:cs="Calibri"/>
                <w:szCs w:val="22"/>
              </w:rPr>
            </w:pPr>
            <w:r w:rsidRPr="00BD4F1B">
              <w:rPr>
                <w:rFonts w:cs="Calibri"/>
                <w:szCs w:val="22"/>
              </w:rPr>
              <w:t>BQS 9-1</w:t>
            </w:r>
          </w:p>
        </w:tc>
      </w:tr>
      <w:tr w:rsidR="00CB0E95" w:rsidRPr="00BD4F1B" w:rsidTr="00011F1D">
        <w:trPr>
          <w:cantSplit/>
        </w:trPr>
        <w:tc>
          <w:tcPr>
            <w:tcW w:w="429" w:type="dxa"/>
            <w:shd w:val="clear" w:color="auto" w:fill="auto"/>
          </w:tcPr>
          <w:p w:rsidR="00CB0E95" w:rsidRPr="00BD4F1B" w:rsidRDefault="00CB0E95" w:rsidP="00A215B7">
            <w:pPr>
              <w:spacing w:before="0" w:after="0"/>
              <w:jc w:val="center"/>
              <w:rPr>
                <w:rFonts w:cs="Calibri"/>
                <w:szCs w:val="22"/>
              </w:rPr>
            </w:pPr>
            <w:r w:rsidRPr="00BD4F1B">
              <w:rPr>
                <w:rFonts w:cs="Calibri"/>
                <w:szCs w:val="22"/>
              </w:rPr>
              <w:t>4</w:t>
            </w:r>
            <w:r w:rsidR="00551019">
              <w:rPr>
                <w:rFonts w:cs="Calibri"/>
                <w:szCs w:val="22"/>
              </w:rPr>
              <w:t>0</w:t>
            </w:r>
          </w:p>
        </w:tc>
        <w:tc>
          <w:tcPr>
            <w:tcW w:w="5378" w:type="dxa"/>
            <w:shd w:val="clear" w:color="auto" w:fill="auto"/>
          </w:tcPr>
          <w:p w:rsidR="00CB0E95" w:rsidRPr="00BD4F1B" w:rsidRDefault="00CB0E95" w:rsidP="00A215B7">
            <w:pPr>
              <w:spacing w:before="0" w:after="0"/>
              <w:rPr>
                <w:rFonts w:cs="Calibri"/>
                <w:szCs w:val="22"/>
              </w:rPr>
            </w:pPr>
            <w:r w:rsidRPr="00BD4F1B">
              <w:rPr>
                <w:rFonts w:cs="Calibri"/>
                <w:szCs w:val="22"/>
              </w:rPr>
              <w:t xml:space="preserve">Freigabeempfehlung </w:t>
            </w:r>
            <w:r w:rsidR="00551019">
              <w:rPr>
                <w:rFonts w:cs="Calibri"/>
                <w:szCs w:val="22"/>
              </w:rPr>
              <w:t xml:space="preserve">von Teilflächen </w:t>
            </w:r>
            <w:r w:rsidRPr="00BD4F1B">
              <w:rPr>
                <w:rFonts w:cs="Calibri"/>
                <w:szCs w:val="22"/>
              </w:rPr>
              <w:t xml:space="preserve">auf Basis </w:t>
            </w:r>
            <w:r w:rsidR="00551019">
              <w:rPr>
                <w:rFonts w:cs="Calibri"/>
                <w:szCs w:val="22"/>
              </w:rPr>
              <w:t xml:space="preserve">der </w:t>
            </w:r>
            <w:r w:rsidRPr="00BD4F1B">
              <w:rPr>
                <w:rFonts w:cs="Calibri"/>
                <w:szCs w:val="22"/>
              </w:rPr>
              <w:t xml:space="preserve">Ergebnisse EP und FP </w:t>
            </w:r>
          </w:p>
        </w:tc>
        <w:tc>
          <w:tcPr>
            <w:tcW w:w="2835" w:type="dxa"/>
            <w:shd w:val="clear" w:color="auto" w:fill="DEEAF6"/>
          </w:tcPr>
          <w:p w:rsidR="00CB0E95" w:rsidRPr="00BD4F1B" w:rsidRDefault="00CB0E95" w:rsidP="00A215B7">
            <w:pPr>
              <w:spacing w:before="0" w:after="0"/>
              <w:rPr>
                <w:sz w:val="16"/>
                <w:szCs w:val="16"/>
              </w:rPr>
            </w:pPr>
          </w:p>
        </w:tc>
        <w:tc>
          <w:tcPr>
            <w:tcW w:w="986" w:type="dxa"/>
            <w:shd w:val="clear" w:color="auto" w:fill="auto"/>
          </w:tcPr>
          <w:p w:rsidR="00CB0E95" w:rsidRPr="00BD4F1B" w:rsidRDefault="00CB0E95" w:rsidP="00A215B7">
            <w:pPr>
              <w:spacing w:before="0" w:after="0"/>
              <w:rPr>
                <w:rFonts w:cs="Calibri"/>
                <w:szCs w:val="22"/>
              </w:rPr>
            </w:pPr>
            <w:r w:rsidRPr="00BD4F1B">
              <w:rPr>
                <w:rFonts w:cs="Calibri"/>
                <w:szCs w:val="22"/>
              </w:rPr>
              <w:t>BQS 9-1</w:t>
            </w:r>
          </w:p>
        </w:tc>
      </w:tr>
      <w:tr w:rsidR="00CB0E95" w:rsidRPr="00BD4F1B" w:rsidTr="00011F1D">
        <w:trPr>
          <w:cantSplit/>
        </w:trPr>
        <w:tc>
          <w:tcPr>
            <w:tcW w:w="429" w:type="dxa"/>
            <w:shd w:val="clear" w:color="auto" w:fill="auto"/>
          </w:tcPr>
          <w:p w:rsidR="00CB0E95" w:rsidRPr="00BD4F1B" w:rsidRDefault="00CB0E95" w:rsidP="00A215B7">
            <w:pPr>
              <w:spacing w:before="0" w:after="0"/>
              <w:jc w:val="center"/>
              <w:rPr>
                <w:rFonts w:cs="Calibri"/>
                <w:szCs w:val="22"/>
              </w:rPr>
            </w:pPr>
            <w:r w:rsidRPr="00BD4F1B">
              <w:rPr>
                <w:rFonts w:cs="Calibri"/>
                <w:szCs w:val="22"/>
              </w:rPr>
              <w:t>4</w:t>
            </w:r>
            <w:r w:rsidR="00551019">
              <w:rPr>
                <w:rFonts w:cs="Calibri"/>
                <w:szCs w:val="22"/>
              </w:rPr>
              <w:t>1</w:t>
            </w:r>
          </w:p>
        </w:tc>
        <w:tc>
          <w:tcPr>
            <w:tcW w:w="5378" w:type="dxa"/>
            <w:shd w:val="clear" w:color="auto" w:fill="auto"/>
          </w:tcPr>
          <w:p w:rsidR="00CB0E95" w:rsidRPr="00BD4F1B" w:rsidRDefault="00551019" w:rsidP="00A215B7">
            <w:pPr>
              <w:spacing w:before="0" w:after="0"/>
              <w:rPr>
                <w:rFonts w:cs="Calibri"/>
                <w:szCs w:val="22"/>
              </w:rPr>
            </w:pPr>
            <w:r>
              <w:rPr>
                <w:rFonts w:cs="Calibri"/>
                <w:szCs w:val="22"/>
              </w:rPr>
              <w:t>Qualitätsü</w:t>
            </w:r>
            <w:r w:rsidR="00CB0E95" w:rsidRPr="00BD4F1B">
              <w:rPr>
                <w:rFonts w:cs="Calibri"/>
                <w:szCs w:val="22"/>
              </w:rPr>
              <w:t>berwachung fertig gestellter Flächen einschl</w:t>
            </w:r>
            <w:r w:rsidR="00D03F3C">
              <w:rPr>
                <w:rFonts w:cs="Calibri"/>
                <w:szCs w:val="22"/>
              </w:rPr>
              <w:t>ießlich</w:t>
            </w:r>
            <w:r w:rsidR="00CB0E95" w:rsidRPr="00BD4F1B">
              <w:rPr>
                <w:rFonts w:cs="Calibri"/>
                <w:szCs w:val="22"/>
              </w:rPr>
              <w:t xml:space="preserve"> Überbauung</w:t>
            </w:r>
          </w:p>
        </w:tc>
        <w:tc>
          <w:tcPr>
            <w:tcW w:w="2835" w:type="dxa"/>
            <w:shd w:val="clear" w:color="auto" w:fill="DEEAF6"/>
          </w:tcPr>
          <w:p w:rsidR="00CB0E95" w:rsidRPr="00BD4F1B" w:rsidRDefault="00CB0E95" w:rsidP="00A215B7">
            <w:pPr>
              <w:spacing w:before="0" w:after="0"/>
              <w:rPr>
                <w:sz w:val="16"/>
                <w:szCs w:val="16"/>
              </w:rPr>
            </w:pPr>
          </w:p>
        </w:tc>
        <w:tc>
          <w:tcPr>
            <w:tcW w:w="986" w:type="dxa"/>
            <w:shd w:val="clear" w:color="auto" w:fill="auto"/>
          </w:tcPr>
          <w:p w:rsidR="00CB0E95" w:rsidRPr="00BD4F1B" w:rsidRDefault="00CB0E95" w:rsidP="00A215B7">
            <w:pPr>
              <w:spacing w:before="0" w:after="0"/>
              <w:rPr>
                <w:rFonts w:cs="Calibri"/>
                <w:szCs w:val="22"/>
              </w:rPr>
            </w:pPr>
            <w:r w:rsidRPr="00BD4F1B">
              <w:rPr>
                <w:rFonts w:cs="Calibri"/>
                <w:szCs w:val="22"/>
              </w:rPr>
              <w:t>BQS 9-1</w:t>
            </w:r>
          </w:p>
        </w:tc>
      </w:tr>
      <w:tr w:rsidR="00CB0E95" w:rsidRPr="00BD4F1B" w:rsidTr="00011F1D">
        <w:trPr>
          <w:cantSplit/>
        </w:trPr>
        <w:tc>
          <w:tcPr>
            <w:tcW w:w="429" w:type="dxa"/>
            <w:shd w:val="clear" w:color="auto" w:fill="auto"/>
          </w:tcPr>
          <w:p w:rsidR="00CB0E95" w:rsidRPr="00BD4F1B" w:rsidRDefault="00CB0E95" w:rsidP="00A215B7">
            <w:pPr>
              <w:spacing w:before="0" w:after="0"/>
              <w:jc w:val="center"/>
              <w:rPr>
                <w:rFonts w:cs="Calibri"/>
                <w:szCs w:val="22"/>
              </w:rPr>
            </w:pPr>
            <w:r w:rsidRPr="00BD4F1B">
              <w:rPr>
                <w:rFonts w:cs="Calibri"/>
                <w:szCs w:val="22"/>
              </w:rPr>
              <w:t>4</w:t>
            </w:r>
            <w:r w:rsidR="00551019">
              <w:rPr>
                <w:rFonts w:cs="Calibri"/>
                <w:szCs w:val="22"/>
              </w:rPr>
              <w:t>2</w:t>
            </w:r>
          </w:p>
        </w:tc>
        <w:tc>
          <w:tcPr>
            <w:tcW w:w="5378" w:type="dxa"/>
            <w:shd w:val="clear" w:color="auto" w:fill="auto"/>
          </w:tcPr>
          <w:p w:rsidR="00CB0E95" w:rsidRPr="00BD4F1B" w:rsidRDefault="00CB0E95" w:rsidP="00A215B7">
            <w:pPr>
              <w:spacing w:before="0" w:after="0"/>
              <w:rPr>
                <w:rFonts w:cs="Calibri"/>
                <w:szCs w:val="22"/>
              </w:rPr>
            </w:pPr>
            <w:r w:rsidRPr="00BD4F1B">
              <w:rPr>
                <w:rFonts w:cs="Calibri"/>
                <w:szCs w:val="22"/>
              </w:rPr>
              <w:t>Fachtechnische Beurteilung von Sanierungsvorschlägen des AN</w:t>
            </w:r>
          </w:p>
        </w:tc>
        <w:tc>
          <w:tcPr>
            <w:tcW w:w="2835" w:type="dxa"/>
            <w:shd w:val="clear" w:color="auto" w:fill="DEEAF6"/>
          </w:tcPr>
          <w:p w:rsidR="00CB0E95" w:rsidRPr="00BD4F1B" w:rsidRDefault="00CB0E95" w:rsidP="00A215B7">
            <w:pPr>
              <w:spacing w:before="0" w:after="0"/>
              <w:rPr>
                <w:sz w:val="16"/>
                <w:szCs w:val="16"/>
              </w:rPr>
            </w:pPr>
          </w:p>
        </w:tc>
        <w:tc>
          <w:tcPr>
            <w:tcW w:w="986" w:type="dxa"/>
            <w:shd w:val="clear" w:color="auto" w:fill="auto"/>
          </w:tcPr>
          <w:p w:rsidR="00CB0E95" w:rsidRPr="00BD4F1B" w:rsidRDefault="00CB0E95" w:rsidP="00A215B7">
            <w:pPr>
              <w:spacing w:before="0" w:after="0"/>
              <w:rPr>
                <w:rFonts w:cs="Calibri"/>
                <w:szCs w:val="22"/>
              </w:rPr>
            </w:pPr>
            <w:r w:rsidRPr="00BD4F1B">
              <w:rPr>
                <w:rFonts w:cs="Calibri"/>
                <w:szCs w:val="22"/>
              </w:rPr>
              <w:t>BQS 9-1</w:t>
            </w:r>
          </w:p>
        </w:tc>
      </w:tr>
      <w:tr w:rsidR="00CB0E95" w:rsidRPr="00BD4F1B" w:rsidTr="00011F1D">
        <w:trPr>
          <w:cantSplit/>
        </w:trPr>
        <w:tc>
          <w:tcPr>
            <w:tcW w:w="429" w:type="dxa"/>
            <w:shd w:val="clear" w:color="auto" w:fill="auto"/>
          </w:tcPr>
          <w:p w:rsidR="00CB0E95" w:rsidRPr="00BD4F1B" w:rsidRDefault="00CB0E95" w:rsidP="00A215B7">
            <w:pPr>
              <w:spacing w:before="0" w:after="0"/>
              <w:jc w:val="center"/>
              <w:rPr>
                <w:rFonts w:cs="Calibri"/>
                <w:szCs w:val="22"/>
              </w:rPr>
            </w:pPr>
            <w:r w:rsidRPr="00BD4F1B">
              <w:rPr>
                <w:rFonts w:cs="Calibri"/>
                <w:szCs w:val="22"/>
              </w:rPr>
              <w:t>4</w:t>
            </w:r>
            <w:r w:rsidR="00551019">
              <w:rPr>
                <w:rFonts w:cs="Calibri"/>
                <w:szCs w:val="22"/>
              </w:rPr>
              <w:t>3</w:t>
            </w:r>
          </w:p>
        </w:tc>
        <w:tc>
          <w:tcPr>
            <w:tcW w:w="5378" w:type="dxa"/>
            <w:shd w:val="clear" w:color="auto" w:fill="auto"/>
          </w:tcPr>
          <w:p w:rsidR="00CB0E95" w:rsidRPr="00BD4F1B" w:rsidRDefault="00CB0E95" w:rsidP="00A215B7">
            <w:pPr>
              <w:spacing w:before="0" w:after="0"/>
              <w:rPr>
                <w:rFonts w:cs="Calibri"/>
                <w:szCs w:val="22"/>
              </w:rPr>
            </w:pPr>
            <w:r w:rsidRPr="00BD4F1B">
              <w:rPr>
                <w:rFonts w:cs="Calibri"/>
                <w:szCs w:val="22"/>
              </w:rPr>
              <w:t xml:space="preserve">Schlussdokumentation mit </w:t>
            </w:r>
            <w:r w:rsidR="00551019">
              <w:rPr>
                <w:rFonts w:cs="Calibri"/>
                <w:szCs w:val="22"/>
              </w:rPr>
              <w:t xml:space="preserve">Bewertung </w:t>
            </w:r>
            <w:r w:rsidRPr="00BD4F1B">
              <w:rPr>
                <w:rFonts w:cs="Calibri"/>
                <w:szCs w:val="22"/>
              </w:rPr>
              <w:t>alle</w:t>
            </w:r>
            <w:r w:rsidR="00551019">
              <w:rPr>
                <w:rFonts w:cs="Calibri"/>
                <w:szCs w:val="22"/>
              </w:rPr>
              <w:t>r Ergebnisse</w:t>
            </w:r>
            <w:r w:rsidRPr="00BD4F1B">
              <w:rPr>
                <w:rFonts w:cs="Calibri"/>
                <w:szCs w:val="22"/>
              </w:rPr>
              <w:t xml:space="preserve"> </w:t>
            </w:r>
            <w:r w:rsidR="00D03F3C">
              <w:rPr>
                <w:rFonts w:cs="Calibri"/>
                <w:szCs w:val="22"/>
              </w:rPr>
              <w:br/>
            </w:r>
            <w:r w:rsidRPr="00BD4F1B">
              <w:rPr>
                <w:rFonts w:cs="Calibri"/>
                <w:szCs w:val="22"/>
              </w:rPr>
              <w:t>von EP und FP und deren Beurteilung</w:t>
            </w:r>
            <w:r w:rsidR="00551019">
              <w:rPr>
                <w:rFonts w:cs="Calibri"/>
                <w:szCs w:val="22"/>
              </w:rPr>
              <w:t xml:space="preserve"> </w:t>
            </w:r>
            <w:r w:rsidR="00D03F3C">
              <w:rPr>
                <w:rFonts w:cs="Calibri"/>
                <w:szCs w:val="22"/>
              </w:rPr>
              <w:br/>
            </w:r>
            <w:r w:rsidR="00551019">
              <w:rPr>
                <w:rFonts w:cs="Calibri"/>
                <w:szCs w:val="22"/>
              </w:rPr>
              <w:t>(Prüfen einer Abnahmeempfehlung an Behörde)</w:t>
            </w:r>
          </w:p>
        </w:tc>
        <w:tc>
          <w:tcPr>
            <w:tcW w:w="2835" w:type="dxa"/>
            <w:shd w:val="clear" w:color="auto" w:fill="DEEAF6"/>
          </w:tcPr>
          <w:p w:rsidR="00CB0E95" w:rsidRPr="00BD4F1B" w:rsidRDefault="00CB0E95" w:rsidP="00A215B7">
            <w:pPr>
              <w:spacing w:before="0" w:after="0"/>
              <w:rPr>
                <w:sz w:val="16"/>
                <w:szCs w:val="16"/>
              </w:rPr>
            </w:pPr>
          </w:p>
        </w:tc>
        <w:tc>
          <w:tcPr>
            <w:tcW w:w="986" w:type="dxa"/>
            <w:shd w:val="clear" w:color="auto" w:fill="auto"/>
          </w:tcPr>
          <w:p w:rsidR="00CB0E95" w:rsidRPr="00BD4F1B" w:rsidRDefault="00CB0E95" w:rsidP="00A215B7">
            <w:pPr>
              <w:spacing w:before="0" w:after="0"/>
              <w:rPr>
                <w:rFonts w:cs="Calibri"/>
                <w:szCs w:val="22"/>
              </w:rPr>
            </w:pPr>
            <w:r w:rsidRPr="00BD4F1B">
              <w:rPr>
                <w:rFonts w:cs="Calibri"/>
                <w:szCs w:val="22"/>
              </w:rPr>
              <w:t>BQS 9-1</w:t>
            </w:r>
          </w:p>
        </w:tc>
      </w:tr>
    </w:tbl>
    <w:p w:rsidR="00027632" w:rsidRPr="005B7F37" w:rsidRDefault="00027632" w:rsidP="005B7F37">
      <w:pPr>
        <w:tabs>
          <w:tab w:val="left" w:pos="2837"/>
        </w:tabs>
        <w:spacing w:before="0" w:after="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17"/>
        <w:gridCol w:w="5432"/>
        <w:gridCol w:w="2793"/>
        <w:gridCol w:w="986"/>
      </w:tblGrid>
      <w:tr w:rsidR="00E95B3F" w:rsidRPr="00BD4F1B" w:rsidTr="00011F1D">
        <w:trPr>
          <w:cantSplit/>
          <w:tblHeader/>
        </w:trPr>
        <w:tc>
          <w:tcPr>
            <w:tcW w:w="9628" w:type="dxa"/>
            <w:gridSpan w:val="4"/>
            <w:shd w:val="clear" w:color="auto" w:fill="D0CECE" w:themeFill="background2" w:themeFillShade="E6"/>
          </w:tcPr>
          <w:p w:rsidR="00E95B3F" w:rsidRPr="00BD4F1B" w:rsidRDefault="00E95B3F" w:rsidP="00011F1D">
            <w:pPr>
              <w:keepNext/>
              <w:spacing w:before="0" w:after="0"/>
              <w:rPr>
                <w:rFonts w:cs="Calibri"/>
                <w:b/>
              </w:rPr>
            </w:pPr>
            <w:r w:rsidRPr="00702DE4">
              <w:rPr>
                <w:rFonts w:cs="Calibri"/>
                <w:b/>
              </w:rPr>
              <w:t>Zuordnung der Einbau-Komponenten und Systeme der Deponieabdichtungssysteme in Inspektions</w:t>
            </w:r>
            <w:r>
              <w:rPr>
                <w:rFonts w:cs="Calibri"/>
                <w:b/>
              </w:rPr>
              <w:t>a</w:t>
            </w:r>
            <w:r w:rsidRPr="00702DE4">
              <w:rPr>
                <w:rFonts w:cs="Calibri"/>
                <w:b/>
              </w:rPr>
              <w:t xml:space="preserve">nweisung </w:t>
            </w:r>
            <w:r>
              <w:rPr>
                <w:rFonts w:cs="Calibri"/>
                <w:b/>
              </w:rPr>
              <w:br/>
            </w:r>
            <w:r w:rsidRPr="00702DE4">
              <w:rPr>
                <w:rFonts w:cs="Calibri"/>
                <w:b/>
              </w:rPr>
              <w:t>laut BQS 9.1</w:t>
            </w:r>
            <w:r>
              <w:rPr>
                <w:rFonts w:cs="Calibri"/>
                <w:b/>
              </w:rPr>
              <w:t>, Abschnitt 7</w:t>
            </w:r>
          </w:p>
        </w:tc>
      </w:tr>
      <w:tr w:rsidR="00E95B3F" w:rsidRPr="00BD4F1B" w:rsidTr="00011F1D">
        <w:trPr>
          <w:cantSplit/>
          <w:tblHeader/>
        </w:trPr>
        <w:tc>
          <w:tcPr>
            <w:tcW w:w="417" w:type="dxa"/>
            <w:shd w:val="clear" w:color="auto" w:fill="F2F2F2" w:themeFill="background1" w:themeFillShade="F2"/>
          </w:tcPr>
          <w:p w:rsidR="00E95B3F" w:rsidRPr="00BD4F1B" w:rsidRDefault="00E95B3F" w:rsidP="00011F1D">
            <w:pPr>
              <w:keepNext/>
              <w:spacing w:before="0" w:after="0"/>
              <w:jc w:val="center"/>
              <w:rPr>
                <w:rFonts w:cs="Calibri"/>
                <w:szCs w:val="22"/>
              </w:rPr>
            </w:pPr>
          </w:p>
        </w:tc>
        <w:tc>
          <w:tcPr>
            <w:tcW w:w="5432" w:type="dxa"/>
            <w:shd w:val="clear" w:color="auto" w:fill="F2F2F2" w:themeFill="background1" w:themeFillShade="F2"/>
          </w:tcPr>
          <w:p w:rsidR="00E95B3F" w:rsidRPr="00BD4F1B" w:rsidRDefault="00E95B3F" w:rsidP="00011F1D">
            <w:pPr>
              <w:keepNext/>
              <w:spacing w:before="0" w:after="0"/>
              <w:rPr>
                <w:rFonts w:cs="Calibri"/>
                <w:b/>
              </w:rPr>
            </w:pPr>
            <w:r w:rsidRPr="00BD4F1B">
              <w:rPr>
                <w:rFonts w:cs="Calibri"/>
                <w:b/>
              </w:rPr>
              <w:t>Deponie</w:t>
            </w:r>
            <w:r w:rsidR="00551019">
              <w:rPr>
                <w:rFonts w:cs="Calibri"/>
                <w:b/>
              </w:rPr>
              <w:t>abdichtungssystemkomponente</w:t>
            </w:r>
          </w:p>
        </w:tc>
        <w:tc>
          <w:tcPr>
            <w:tcW w:w="2793" w:type="dxa"/>
            <w:shd w:val="clear" w:color="auto" w:fill="F2F2F2" w:themeFill="background1" w:themeFillShade="F2"/>
          </w:tcPr>
          <w:p w:rsidR="00E95B3F" w:rsidRPr="00BD4F1B" w:rsidRDefault="003578D1" w:rsidP="00011F1D">
            <w:pPr>
              <w:keepNext/>
              <w:spacing w:before="0" w:after="0"/>
              <w:rPr>
                <w:rFonts w:cs="Calibri"/>
                <w:b/>
              </w:rPr>
            </w:pPr>
            <w:r w:rsidRPr="00BD4F1B">
              <w:rPr>
                <w:b/>
              </w:rPr>
              <w:t xml:space="preserve">Regel/ </w:t>
            </w:r>
            <w:r w:rsidR="00E95B3F" w:rsidRPr="00BD4F1B">
              <w:rPr>
                <w:rFonts w:cs="Calibri"/>
                <w:b/>
              </w:rPr>
              <w:t>Inspektionsanweisung</w:t>
            </w:r>
            <w:r w:rsidR="00551019">
              <w:rPr>
                <w:rFonts w:cs="Calibri"/>
                <w:b/>
              </w:rPr>
              <w:t>en</w:t>
            </w:r>
          </w:p>
        </w:tc>
        <w:tc>
          <w:tcPr>
            <w:tcW w:w="986" w:type="dxa"/>
            <w:shd w:val="clear" w:color="auto" w:fill="F2F2F2" w:themeFill="background1" w:themeFillShade="F2"/>
          </w:tcPr>
          <w:p w:rsidR="00E95B3F" w:rsidRPr="00BD4F1B" w:rsidRDefault="00E95B3F" w:rsidP="00011F1D">
            <w:pPr>
              <w:keepNext/>
              <w:spacing w:before="0" w:after="0"/>
              <w:rPr>
                <w:rFonts w:cs="Calibri"/>
                <w:b/>
              </w:rPr>
            </w:pPr>
            <w:r>
              <w:rPr>
                <w:rFonts w:cs="Calibri"/>
                <w:b/>
              </w:rPr>
              <w:t>Quelle</w:t>
            </w:r>
          </w:p>
        </w:tc>
      </w:tr>
      <w:tr w:rsidR="00E95B3F" w:rsidRPr="00BD4F1B" w:rsidTr="00011F1D">
        <w:trPr>
          <w:cantSplit/>
        </w:trPr>
        <w:tc>
          <w:tcPr>
            <w:tcW w:w="417" w:type="dxa"/>
            <w:shd w:val="clear" w:color="auto" w:fill="auto"/>
          </w:tcPr>
          <w:p w:rsidR="00E95B3F" w:rsidRPr="00BD4F1B" w:rsidRDefault="00E95B3F" w:rsidP="00A215B7">
            <w:pPr>
              <w:spacing w:before="0" w:after="0"/>
              <w:jc w:val="center"/>
              <w:rPr>
                <w:rFonts w:cs="Calibri"/>
                <w:szCs w:val="22"/>
              </w:rPr>
            </w:pPr>
            <w:r>
              <w:rPr>
                <w:rFonts w:cs="Calibri"/>
                <w:szCs w:val="22"/>
              </w:rPr>
              <w:t>4</w:t>
            </w:r>
            <w:r w:rsidR="00551019">
              <w:rPr>
                <w:rFonts w:cs="Calibri"/>
                <w:szCs w:val="22"/>
              </w:rPr>
              <w:t>4</w:t>
            </w:r>
          </w:p>
        </w:tc>
        <w:tc>
          <w:tcPr>
            <w:tcW w:w="5432" w:type="dxa"/>
            <w:shd w:val="clear" w:color="auto" w:fill="auto"/>
          </w:tcPr>
          <w:p w:rsidR="00E95B3F" w:rsidRPr="00BD4F1B" w:rsidRDefault="00E95B3F" w:rsidP="00A215B7">
            <w:pPr>
              <w:spacing w:before="0" w:after="0"/>
              <w:rPr>
                <w:rFonts w:cs="Calibri"/>
              </w:rPr>
            </w:pPr>
            <w:r w:rsidRPr="00BD4F1B">
              <w:rPr>
                <w:rFonts w:cs="Calibri"/>
              </w:rPr>
              <w:t xml:space="preserve">Technische Maßnahmen </w:t>
            </w:r>
            <w:r>
              <w:rPr>
                <w:rFonts w:cs="Calibri"/>
              </w:rPr>
              <w:t>betreffend die</w:t>
            </w:r>
            <w:r w:rsidRPr="00BD4F1B">
              <w:rPr>
                <w:rFonts w:cs="Calibri"/>
              </w:rPr>
              <w:t xml:space="preserve"> geologische Barriere </w:t>
            </w:r>
          </w:p>
        </w:tc>
        <w:tc>
          <w:tcPr>
            <w:tcW w:w="2793" w:type="dxa"/>
            <w:shd w:val="clear" w:color="auto" w:fill="DEEAF6"/>
          </w:tcPr>
          <w:p w:rsidR="00E95B3F" w:rsidRPr="00BD4F1B" w:rsidRDefault="00E95B3F" w:rsidP="00A215B7">
            <w:pPr>
              <w:spacing w:before="0" w:after="0"/>
              <w:rPr>
                <w:sz w:val="16"/>
                <w:szCs w:val="16"/>
              </w:rPr>
            </w:pPr>
          </w:p>
        </w:tc>
        <w:tc>
          <w:tcPr>
            <w:tcW w:w="986" w:type="dxa"/>
            <w:shd w:val="clear" w:color="auto" w:fill="auto"/>
          </w:tcPr>
          <w:p w:rsidR="00E95B3F" w:rsidRPr="00CB0E95" w:rsidRDefault="00E95B3F" w:rsidP="00A215B7">
            <w:pPr>
              <w:spacing w:before="0" w:after="0"/>
              <w:rPr>
                <w:rFonts w:cs="Calibri"/>
              </w:rPr>
            </w:pPr>
            <w:r w:rsidRPr="00CB0E95">
              <w:rPr>
                <w:rFonts w:cs="Calibri"/>
              </w:rPr>
              <w:t>BQS 9-1</w:t>
            </w:r>
          </w:p>
        </w:tc>
      </w:tr>
      <w:tr w:rsidR="00E95B3F" w:rsidRPr="00BD4F1B" w:rsidTr="00011F1D">
        <w:trPr>
          <w:cantSplit/>
        </w:trPr>
        <w:tc>
          <w:tcPr>
            <w:tcW w:w="417" w:type="dxa"/>
            <w:shd w:val="clear" w:color="auto" w:fill="auto"/>
          </w:tcPr>
          <w:p w:rsidR="00E95B3F" w:rsidRPr="00BD4F1B" w:rsidRDefault="00E95B3F" w:rsidP="00A215B7">
            <w:pPr>
              <w:spacing w:before="0" w:after="0"/>
              <w:jc w:val="center"/>
              <w:rPr>
                <w:rFonts w:cs="Calibri"/>
                <w:szCs w:val="22"/>
              </w:rPr>
            </w:pPr>
            <w:r>
              <w:rPr>
                <w:rFonts w:cs="Calibri"/>
                <w:szCs w:val="22"/>
              </w:rPr>
              <w:t>4</w:t>
            </w:r>
            <w:r w:rsidR="00551019">
              <w:rPr>
                <w:rFonts w:cs="Calibri"/>
                <w:szCs w:val="22"/>
              </w:rPr>
              <w:t>5</w:t>
            </w:r>
          </w:p>
        </w:tc>
        <w:tc>
          <w:tcPr>
            <w:tcW w:w="5432" w:type="dxa"/>
            <w:shd w:val="clear" w:color="auto" w:fill="auto"/>
          </w:tcPr>
          <w:p w:rsidR="00E95B3F" w:rsidRPr="00BD4F1B" w:rsidRDefault="00E95B3F" w:rsidP="00A215B7">
            <w:pPr>
              <w:spacing w:before="0" w:after="0"/>
              <w:rPr>
                <w:rFonts w:cs="Calibri"/>
              </w:rPr>
            </w:pPr>
            <w:r>
              <w:rPr>
                <w:rFonts w:cs="Calibri"/>
              </w:rPr>
              <w:t>M</w:t>
            </w:r>
            <w:r w:rsidRPr="00BD4F1B">
              <w:rPr>
                <w:rFonts w:cs="Calibri"/>
              </w:rPr>
              <w:t>ineralische Dichtungskomponente (einschließlich geosynthetischer Tondichtungsbahnen und Kapillarsperren)</w:t>
            </w:r>
          </w:p>
        </w:tc>
        <w:tc>
          <w:tcPr>
            <w:tcW w:w="2793" w:type="dxa"/>
            <w:shd w:val="clear" w:color="auto" w:fill="DEEAF6"/>
          </w:tcPr>
          <w:p w:rsidR="00E95B3F" w:rsidRPr="00BD4F1B" w:rsidRDefault="00E95B3F" w:rsidP="00A215B7">
            <w:pPr>
              <w:spacing w:before="0" w:after="0"/>
              <w:rPr>
                <w:sz w:val="16"/>
                <w:szCs w:val="16"/>
              </w:rPr>
            </w:pPr>
          </w:p>
        </w:tc>
        <w:tc>
          <w:tcPr>
            <w:tcW w:w="986" w:type="dxa"/>
            <w:shd w:val="clear" w:color="auto" w:fill="auto"/>
          </w:tcPr>
          <w:p w:rsidR="00E95B3F" w:rsidRPr="003578D1" w:rsidRDefault="00E95B3F" w:rsidP="00A215B7">
            <w:pPr>
              <w:spacing w:before="0" w:after="0"/>
              <w:rPr>
                <w:rFonts w:cs="Calibri"/>
              </w:rPr>
            </w:pPr>
            <w:r w:rsidRPr="00CB0E95">
              <w:rPr>
                <w:rFonts w:cs="Calibri"/>
              </w:rPr>
              <w:t>BQS 9-1</w:t>
            </w:r>
          </w:p>
        </w:tc>
      </w:tr>
      <w:tr w:rsidR="00E95B3F" w:rsidRPr="00BD4F1B" w:rsidTr="00011F1D">
        <w:trPr>
          <w:cantSplit/>
        </w:trPr>
        <w:tc>
          <w:tcPr>
            <w:tcW w:w="417" w:type="dxa"/>
            <w:shd w:val="clear" w:color="auto" w:fill="auto"/>
          </w:tcPr>
          <w:p w:rsidR="00E95B3F" w:rsidRPr="00BD4F1B" w:rsidRDefault="00551019" w:rsidP="00A215B7">
            <w:pPr>
              <w:spacing w:before="0" w:after="0"/>
              <w:jc w:val="center"/>
              <w:rPr>
                <w:rFonts w:cs="Calibri"/>
                <w:szCs w:val="22"/>
              </w:rPr>
            </w:pPr>
            <w:r>
              <w:rPr>
                <w:rFonts w:cs="Calibri"/>
                <w:szCs w:val="22"/>
              </w:rPr>
              <w:t>46</w:t>
            </w:r>
          </w:p>
        </w:tc>
        <w:tc>
          <w:tcPr>
            <w:tcW w:w="5432" w:type="dxa"/>
            <w:shd w:val="clear" w:color="auto" w:fill="auto"/>
          </w:tcPr>
          <w:p w:rsidR="00E95B3F" w:rsidRPr="00BD4F1B" w:rsidRDefault="00E95B3F" w:rsidP="00A215B7">
            <w:pPr>
              <w:spacing w:before="0" w:after="0"/>
              <w:rPr>
                <w:rFonts w:cs="Calibri"/>
              </w:rPr>
            </w:pPr>
            <w:r>
              <w:rPr>
                <w:rFonts w:cs="Calibri"/>
              </w:rPr>
              <w:t>M</w:t>
            </w:r>
            <w:r w:rsidRPr="00BD4F1B">
              <w:rPr>
                <w:rFonts w:cs="Calibri"/>
              </w:rPr>
              <w:t>ineralische Entwässerungsschichten</w:t>
            </w:r>
          </w:p>
        </w:tc>
        <w:tc>
          <w:tcPr>
            <w:tcW w:w="2793" w:type="dxa"/>
            <w:shd w:val="clear" w:color="auto" w:fill="DEEAF6"/>
          </w:tcPr>
          <w:p w:rsidR="00E95B3F" w:rsidRPr="00BD4F1B" w:rsidRDefault="00E95B3F" w:rsidP="00A215B7">
            <w:pPr>
              <w:spacing w:before="0" w:after="0"/>
              <w:rPr>
                <w:sz w:val="16"/>
                <w:szCs w:val="16"/>
              </w:rPr>
            </w:pPr>
          </w:p>
        </w:tc>
        <w:tc>
          <w:tcPr>
            <w:tcW w:w="986" w:type="dxa"/>
            <w:shd w:val="clear" w:color="auto" w:fill="auto"/>
          </w:tcPr>
          <w:p w:rsidR="00E95B3F" w:rsidRPr="003578D1" w:rsidRDefault="00E95B3F" w:rsidP="00A215B7">
            <w:pPr>
              <w:spacing w:before="0" w:after="0"/>
              <w:rPr>
                <w:rFonts w:cs="Calibri"/>
              </w:rPr>
            </w:pPr>
            <w:r w:rsidRPr="00CB0E95">
              <w:rPr>
                <w:rFonts w:cs="Calibri"/>
              </w:rPr>
              <w:t>BQS 9-1</w:t>
            </w:r>
          </w:p>
        </w:tc>
      </w:tr>
      <w:tr w:rsidR="00E95B3F" w:rsidRPr="00BD4F1B" w:rsidTr="00011F1D">
        <w:trPr>
          <w:cantSplit/>
        </w:trPr>
        <w:tc>
          <w:tcPr>
            <w:tcW w:w="417" w:type="dxa"/>
            <w:shd w:val="clear" w:color="auto" w:fill="auto"/>
          </w:tcPr>
          <w:p w:rsidR="00E95B3F" w:rsidRPr="00BD4F1B" w:rsidRDefault="00551019" w:rsidP="00A215B7">
            <w:pPr>
              <w:spacing w:before="0" w:after="0"/>
              <w:jc w:val="center"/>
              <w:rPr>
                <w:rFonts w:cs="Calibri"/>
                <w:szCs w:val="22"/>
              </w:rPr>
            </w:pPr>
            <w:r>
              <w:rPr>
                <w:rFonts w:cs="Calibri"/>
                <w:szCs w:val="22"/>
              </w:rPr>
              <w:t>47</w:t>
            </w:r>
          </w:p>
        </w:tc>
        <w:tc>
          <w:tcPr>
            <w:tcW w:w="5432" w:type="dxa"/>
            <w:shd w:val="clear" w:color="auto" w:fill="auto"/>
          </w:tcPr>
          <w:p w:rsidR="00E95B3F" w:rsidRPr="00BD4F1B" w:rsidRDefault="00E95B3F" w:rsidP="00A215B7">
            <w:pPr>
              <w:spacing w:before="0" w:after="0"/>
              <w:rPr>
                <w:rFonts w:cs="Calibri"/>
              </w:rPr>
            </w:pPr>
            <w:r w:rsidRPr="00BD4F1B">
              <w:rPr>
                <w:rFonts w:cs="Calibri"/>
              </w:rPr>
              <w:t>Trag- und Ausgleichschichten</w:t>
            </w:r>
          </w:p>
        </w:tc>
        <w:tc>
          <w:tcPr>
            <w:tcW w:w="2793" w:type="dxa"/>
            <w:shd w:val="clear" w:color="auto" w:fill="DEEAF6"/>
          </w:tcPr>
          <w:p w:rsidR="00E95B3F" w:rsidRPr="00BD4F1B" w:rsidRDefault="00E95B3F" w:rsidP="00A215B7">
            <w:pPr>
              <w:spacing w:before="0" w:after="0"/>
              <w:rPr>
                <w:sz w:val="16"/>
                <w:szCs w:val="16"/>
              </w:rPr>
            </w:pPr>
          </w:p>
        </w:tc>
        <w:tc>
          <w:tcPr>
            <w:tcW w:w="986" w:type="dxa"/>
            <w:shd w:val="clear" w:color="auto" w:fill="auto"/>
          </w:tcPr>
          <w:p w:rsidR="00E95B3F" w:rsidRPr="003578D1" w:rsidRDefault="00E95B3F" w:rsidP="00A215B7">
            <w:pPr>
              <w:spacing w:before="0" w:after="0"/>
              <w:rPr>
                <w:rFonts w:cs="Calibri"/>
              </w:rPr>
            </w:pPr>
            <w:r w:rsidRPr="00CB0E95">
              <w:rPr>
                <w:rFonts w:cs="Calibri"/>
              </w:rPr>
              <w:t>BQS 9-1</w:t>
            </w:r>
          </w:p>
        </w:tc>
      </w:tr>
      <w:tr w:rsidR="00E95B3F" w:rsidRPr="00BD4F1B" w:rsidTr="00011F1D">
        <w:trPr>
          <w:cantSplit/>
        </w:trPr>
        <w:tc>
          <w:tcPr>
            <w:tcW w:w="417" w:type="dxa"/>
            <w:shd w:val="clear" w:color="auto" w:fill="auto"/>
          </w:tcPr>
          <w:p w:rsidR="00E95B3F" w:rsidRPr="00BD4F1B" w:rsidRDefault="00551019" w:rsidP="00A215B7">
            <w:pPr>
              <w:spacing w:before="0" w:after="0"/>
              <w:jc w:val="center"/>
              <w:rPr>
                <w:rFonts w:cs="Calibri"/>
                <w:szCs w:val="22"/>
              </w:rPr>
            </w:pPr>
            <w:r>
              <w:rPr>
                <w:rFonts w:cs="Calibri"/>
                <w:szCs w:val="22"/>
              </w:rPr>
              <w:t>48</w:t>
            </w:r>
          </w:p>
        </w:tc>
        <w:tc>
          <w:tcPr>
            <w:tcW w:w="5432" w:type="dxa"/>
            <w:shd w:val="clear" w:color="auto" w:fill="auto"/>
          </w:tcPr>
          <w:p w:rsidR="00E95B3F" w:rsidRPr="00BD4F1B" w:rsidRDefault="00E95B3F" w:rsidP="00A215B7">
            <w:pPr>
              <w:spacing w:before="0" w:after="0"/>
              <w:rPr>
                <w:rFonts w:cs="Calibri"/>
              </w:rPr>
            </w:pPr>
            <w:r>
              <w:rPr>
                <w:rFonts w:cs="Calibri"/>
              </w:rPr>
              <w:t xml:space="preserve">Rekultivierungs-, </w:t>
            </w:r>
            <w:r w:rsidRPr="00BD4F1B">
              <w:rPr>
                <w:rFonts w:cs="Calibri"/>
              </w:rPr>
              <w:t>Wasserhaushalts- und Methanoxidations</w:t>
            </w:r>
            <w:r w:rsidR="00D03F3C">
              <w:rPr>
                <w:rFonts w:cs="Calibri"/>
              </w:rPr>
              <w:t>-</w:t>
            </w:r>
            <w:r w:rsidRPr="00BD4F1B">
              <w:rPr>
                <w:rFonts w:cs="Calibri"/>
              </w:rPr>
              <w:t>schichten</w:t>
            </w:r>
          </w:p>
        </w:tc>
        <w:tc>
          <w:tcPr>
            <w:tcW w:w="2793" w:type="dxa"/>
            <w:shd w:val="clear" w:color="auto" w:fill="DEEAF6"/>
          </w:tcPr>
          <w:p w:rsidR="00E95B3F" w:rsidRPr="00BD4F1B" w:rsidRDefault="00E95B3F" w:rsidP="00A215B7">
            <w:pPr>
              <w:spacing w:before="0" w:after="0"/>
              <w:rPr>
                <w:sz w:val="16"/>
                <w:szCs w:val="16"/>
              </w:rPr>
            </w:pPr>
          </w:p>
        </w:tc>
        <w:tc>
          <w:tcPr>
            <w:tcW w:w="986" w:type="dxa"/>
            <w:shd w:val="clear" w:color="auto" w:fill="auto"/>
          </w:tcPr>
          <w:p w:rsidR="00E95B3F" w:rsidRPr="003578D1" w:rsidRDefault="00E95B3F" w:rsidP="00A215B7">
            <w:pPr>
              <w:spacing w:before="0" w:after="0"/>
              <w:rPr>
                <w:rFonts w:cs="Calibri"/>
              </w:rPr>
            </w:pPr>
            <w:r w:rsidRPr="00CB0E95">
              <w:rPr>
                <w:rFonts w:cs="Calibri"/>
              </w:rPr>
              <w:t>BQS 9-1</w:t>
            </w:r>
          </w:p>
        </w:tc>
      </w:tr>
      <w:tr w:rsidR="00E95B3F" w:rsidRPr="00BD4F1B" w:rsidTr="00011F1D">
        <w:trPr>
          <w:cantSplit/>
        </w:trPr>
        <w:tc>
          <w:tcPr>
            <w:tcW w:w="417" w:type="dxa"/>
            <w:shd w:val="clear" w:color="auto" w:fill="auto"/>
          </w:tcPr>
          <w:p w:rsidR="00E95B3F" w:rsidRPr="00BD4F1B" w:rsidRDefault="00551019" w:rsidP="00A215B7">
            <w:pPr>
              <w:spacing w:before="0" w:after="0"/>
              <w:jc w:val="center"/>
              <w:rPr>
                <w:rFonts w:cs="Calibri"/>
                <w:szCs w:val="22"/>
              </w:rPr>
            </w:pPr>
            <w:r>
              <w:rPr>
                <w:rFonts w:cs="Calibri"/>
                <w:szCs w:val="22"/>
              </w:rPr>
              <w:t>49</w:t>
            </w:r>
          </w:p>
        </w:tc>
        <w:tc>
          <w:tcPr>
            <w:tcW w:w="5432" w:type="dxa"/>
            <w:shd w:val="clear" w:color="auto" w:fill="auto"/>
          </w:tcPr>
          <w:p w:rsidR="00E95B3F" w:rsidRPr="00BD4F1B" w:rsidRDefault="00E95B3F" w:rsidP="00A215B7">
            <w:pPr>
              <w:spacing w:before="0" w:after="0"/>
              <w:rPr>
                <w:rFonts w:cs="Calibri"/>
              </w:rPr>
            </w:pPr>
            <w:r>
              <w:rPr>
                <w:rFonts w:cs="Calibri"/>
              </w:rPr>
              <w:t>M</w:t>
            </w:r>
            <w:r w:rsidRPr="00BD4F1B">
              <w:rPr>
                <w:rFonts w:cs="Calibri"/>
              </w:rPr>
              <w:t>ineralischen Schutzschichten und wasserspeichernden Schichten</w:t>
            </w:r>
          </w:p>
        </w:tc>
        <w:tc>
          <w:tcPr>
            <w:tcW w:w="2793" w:type="dxa"/>
            <w:shd w:val="clear" w:color="auto" w:fill="DEEAF6"/>
          </w:tcPr>
          <w:p w:rsidR="00E95B3F" w:rsidRPr="00BD4F1B" w:rsidRDefault="00E95B3F" w:rsidP="00A215B7">
            <w:pPr>
              <w:spacing w:before="0" w:after="0"/>
              <w:rPr>
                <w:sz w:val="16"/>
                <w:szCs w:val="16"/>
              </w:rPr>
            </w:pPr>
          </w:p>
        </w:tc>
        <w:tc>
          <w:tcPr>
            <w:tcW w:w="986" w:type="dxa"/>
            <w:shd w:val="clear" w:color="auto" w:fill="auto"/>
          </w:tcPr>
          <w:p w:rsidR="00E95B3F" w:rsidRPr="003578D1" w:rsidRDefault="00E95B3F" w:rsidP="00A215B7">
            <w:pPr>
              <w:spacing w:before="0" w:after="0"/>
              <w:rPr>
                <w:rFonts w:cs="Calibri"/>
              </w:rPr>
            </w:pPr>
            <w:r w:rsidRPr="00CB0E95">
              <w:rPr>
                <w:rFonts w:cs="Calibri"/>
              </w:rPr>
              <w:t>BQS 9-1</w:t>
            </w:r>
          </w:p>
        </w:tc>
      </w:tr>
      <w:tr w:rsidR="00E95B3F" w:rsidRPr="00BD4F1B" w:rsidTr="00011F1D">
        <w:trPr>
          <w:cantSplit/>
        </w:trPr>
        <w:tc>
          <w:tcPr>
            <w:tcW w:w="417" w:type="dxa"/>
            <w:shd w:val="clear" w:color="auto" w:fill="auto"/>
          </w:tcPr>
          <w:p w:rsidR="00E95B3F" w:rsidRPr="00BD4F1B" w:rsidRDefault="007F1C3A" w:rsidP="00A215B7">
            <w:pPr>
              <w:spacing w:before="0" w:after="0"/>
              <w:jc w:val="center"/>
              <w:rPr>
                <w:rFonts w:cs="Calibri"/>
                <w:szCs w:val="22"/>
              </w:rPr>
            </w:pPr>
            <w:r>
              <w:rPr>
                <w:rFonts w:cs="Calibri"/>
                <w:szCs w:val="22"/>
              </w:rPr>
              <w:t>5</w:t>
            </w:r>
            <w:r w:rsidR="00551019">
              <w:rPr>
                <w:rFonts w:cs="Calibri"/>
                <w:szCs w:val="22"/>
              </w:rPr>
              <w:t>0</w:t>
            </w:r>
          </w:p>
        </w:tc>
        <w:tc>
          <w:tcPr>
            <w:tcW w:w="5432" w:type="dxa"/>
            <w:shd w:val="clear" w:color="auto" w:fill="auto"/>
          </w:tcPr>
          <w:p w:rsidR="00E95B3F" w:rsidRPr="00BD4F1B" w:rsidRDefault="00E95B3F" w:rsidP="00A215B7">
            <w:pPr>
              <w:spacing w:before="0" w:after="0"/>
              <w:rPr>
                <w:rFonts w:cs="Calibri"/>
              </w:rPr>
            </w:pPr>
            <w:r>
              <w:rPr>
                <w:rFonts w:cs="Calibri"/>
              </w:rPr>
              <w:t>M</w:t>
            </w:r>
            <w:r w:rsidRPr="00BD4F1B">
              <w:rPr>
                <w:rFonts w:cs="Calibri"/>
              </w:rPr>
              <w:t>ineralische Dichtungen an Bauteile</w:t>
            </w:r>
          </w:p>
        </w:tc>
        <w:tc>
          <w:tcPr>
            <w:tcW w:w="2793" w:type="dxa"/>
            <w:shd w:val="clear" w:color="auto" w:fill="DEEAF6"/>
          </w:tcPr>
          <w:p w:rsidR="00E95B3F" w:rsidRPr="00BD4F1B" w:rsidRDefault="00E95B3F" w:rsidP="00A215B7">
            <w:pPr>
              <w:spacing w:before="0" w:after="0"/>
              <w:rPr>
                <w:sz w:val="16"/>
                <w:szCs w:val="16"/>
              </w:rPr>
            </w:pPr>
          </w:p>
        </w:tc>
        <w:tc>
          <w:tcPr>
            <w:tcW w:w="986" w:type="dxa"/>
            <w:shd w:val="clear" w:color="auto" w:fill="auto"/>
          </w:tcPr>
          <w:p w:rsidR="00E95B3F" w:rsidRPr="003578D1" w:rsidRDefault="00E95B3F" w:rsidP="00A215B7">
            <w:pPr>
              <w:spacing w:before="0" w:after="0"/>
              <w:rPr>
                <w:rFonts w:cs="Calibri"/>
              </w:rPr>
            </w:pPr>
            <w:r w:rsidRPr="00CB0E95">
              <w:rPr>
                <w:rFonts w:cs="Calibri"/>
              </w:rPr>
              <w:t>BQS 9-1</w:t>
            </w:r>
          </w:p>
        </w:tc>
      </w:tr>
      <w:tr w:rsidR="00E95B3F" w:rsidRPr="00BD4F1B" w:rsidTr="00011F1D">
        <w:trPr>
          <w:cantSplit/>
        </w:trPr>
        <w:tc>
          <w:tcPr>
            <w:tcW w:w="417" w:type="dxa"/>
            <w:shd w:val="clear" w:color="auto" w:fill="auto"/>
          </w:tcPr>
          <w:p w:rsidR="00E95B3F" w:rsidRPr="00BD4F1B" w:rsidRDefault="00551019" w:rsidP="00A215B7">
            <w:pPr>
              <w:spacing w:before="0" w:after="0"/>
              <w:jc w:val="center"/>
              <w:rPr>
                <w:rFonts w:cs="Calibri"/>
                <w:szCs w:val="22"/>
              </w:rPr>
            </w:pPr>
            <w:r>
              <w:rPr>
                <w:rFonts w:cs="Calibri"/>
                <w:szCs w:val="22"/>
              </w:rPr>
              <w:t>51</w:t>
            </w:r>
          </w:p>
        </w:tc>
        <w:tc>
          <w:tcPr>
            <w:tcW w:w="5432" w:type="dxa"/>
            <w:shd w:val="clear" w:color="auto" w:fill="auto"/>
          </w:tcPr>
          <w:p w:rsidR="00E95B3F" w:rsidRPr="00D32547" w:rsidRDefault="003578D1" w:rsidP="00A215B7">
            <w:pPr>
              <w:spacing w:before="0" w:after="0"/>
              <w:rPr>
                <w:rFonts w:cs="Calibri"/>
              </w:rPr>
            </w:pPr>
            <w:r>
              <w:rPr>
                <w:rFonts w:cs="Calibri"/>
              </w:rPr>
              <w:t>O</w:t>
            </w:r>
            <w:r w:rsidR="00DF7F07" w:rsidRPr="00D32547">
              <w:rPr>
                <w:rFonts w:cs="Calibri"/>
              </w:rPr>
              <w:t xml:space="preserve">ptional - </w:t>
            </w:r>
            <w:r w:rsidR="00E95B3F" w:rsidRPr="00D32547">
              <w:rPr>
                <w:rFonts w:cs="Calibri"/>
              </w:rPr>
              <w:t>Asphaltabdichtungen</w:t>
            </w:r>
          </w:p>
        </w:tc>
        <w:tc>
          <w:tcPr>
            <w:tcW w:w="2793" w:type="dxa"/>
            <w:shd w:val="clear" w:color="auto" w:fill="DEEAF6"/>
          </w:tcPr>
          <w:p w:rsidR="00E95B3F" w:rsidRPr="00BD4F1B" w:rsidRDefault="00E95B3F" w:rsidP="00A215B7">
            <w:pPr>
              <w:spacing w:before="0" w:after="0"/>
              <w:rPr>
                <w:sz w:val="16"/>
                <w:szCs w:val="16"/>
              </w:rPr>
            </w:pPr>
          </w:p>
        </w:tc>
        <w:tc>
          <w:tcPr>
            <w:tcW w:w="986" w:type="dxa"/>
            <w:shd w:val="clear" w:color="auto" w:fill="auto"/>
          </w:tcPr>
          <w:p w:rsidR="00E95B3F" w:rsidRPr="001E1A65" w:rsidRDefault="00E95B3F" w:rsidP="00A215B7">
            <w:pPr>
              <w:spacing w:before="0" w:after="0"/>
              <w:rPr>
                <w:rFonts w:cs="Calibri"/>
              </w:rPr>
            </w:pPr>
            <w:r w:rsidRPr="001E1A65">
              <w:rPr>
                <w:rFonts w:cs="Calibri"/>
              </w:rPr>
              <w:t>BQS 9-1</w:t>
            </w:r>
            <w:r w:rsidRPr="001E1A65">
              <w:rPr>
                <w:rFonts w:cs="Calibri"/>
              </w:rPr>
              <w:br/>
              <w:t>Nr. 5.4</w:t>
            </w:r>
          </w:p>
        </w:tc>
      </w:tr>
      <w:tr w:rsidR="00E95B3F" w:rsidRPr="00BD4F1B" w:rsidTr="00011F1D">
        <w:trPr>
          <w:cantSplit/>
        </w:trPr>
        <w:tc>
          <w:tcPr>
            <w:tcW w:w="417" w:type="dxa"/>
            <w:shd w:val="clear" w:color="auto" w:fill="auto"/>
          </w:tcPr>
          <w:p w:rsidR="00E95B3F" w:rsidRPr="00BD4F1B" w:rsidRDefault="007F1C3A" w:rsidP="00A215B7">
            <w:pPr>
              <w:spacing w:before="0" w:after="0"/>
              <w:jc w:val="center"/>
              <w:rPr>
                <w:rFonts w:cs="Calibri"/>
                <w:szCs w:val="22"/>
              </w:rPr>
            </w:pPr>
            <w:r>
              <w:rPr>
                <w:rFonts w:cs="Calibri"/>
                <w:szCs w:val="22"/>
              </w:rPr>
              <w:t>5</w:t>
            </w:r>
            <w:r w:rsidR="00551019">
              <w:rPr>
                <w:rFonts w:cs="Calibri"/>
                <w:szCs w:val="22"/>
              </w:rPr>
              <w:t>2</w:t>
            </w:r>
          </w:p>
        </w:tc>
        <w:tc>
          <w:tcPr>
            <w:tcW w:w="5432" w:type="dxa"/>
            <w:shd w:val="clear" w:color="auto" w:fill="auto"/>
          </w:tcPr>
          <w:p w:rsidR="00E95B3F" w:rsidRPr="00D32547" w:rsidRDefault="003578D1" w:rsidP="00A215B7">
            <w:pPr>
              <w:spacing w:before="0" w:after="0"/>
              <w:rPr>
                <w:rFonts w:cs="Calibri"/>
              </w:rPr>
            </w:pPr>
            <w:r>
              <w:rPr>
                <w:rFonts w:cs="Calibri"/>
              </w:rPr>
              <w:t>O</w:t>
            </w:r>
            <w:r w:rsidR="00DF7F07" w:rsidRPr="00D32547">
              <w:rPr>
                <w:rFonts w:cs="Calibri"/>
              </w:rPr>
              <w:t>ptional</w:t>
            </w:r>
            <w:r w:rsidR="00D03F3C">
              <w:rPr>
                <w:rFonts w:cs="Calibri"/>
              </w:rPr>
              <w:t xml:space="preserve"> - </w:t>
            </w:r>
            <w:r w:rsidR="00E95B3F" w:rsidRPr="00D32547">
              <w:rPr>
                <w:rFonts w:cs="Calibri"/>
              </w:rPr>
              <w:t>Geotextilien zum Filtern und Trennen</w:t>
            </w:r>
          </w:p>
        </w:tc>
        <w:tc>
          <w:tcPr>
            <w:tcW w:w="2793" w:type="dxa"/>
            <w:shd w:val="clear" w:color="auto" w:fill="DEEAF6"/>
          </w:tcPr>
          <w:p w:rsidR="00E95B3F" w:rsidRPr="00BD4F1B" w:rsidRDefault="00E95B3F" w:rsidP="00A215B7">
            <w:pPr>
              <w:spacing w:before="0" w:after="0"/>
              <w:rPr>
                <w:sz w:val="16"/>
                <w:szCs w:val="16"/>
              </w:rPr>
            </w:pPr>
          </w:p>
        </w:tc>
        <w:tc>
          <w:tcPr>
            <w:tcW w:w="986" w:type="dxa"/>
            <w:shd w:val="clear" w:color="auto" w:fill="auto"/>
          </w:tcPr>
          <w:p w:rsidR="00E95B3F" w:rsidRPr="003578D1" w:rsidRDefault="00E95B3F" w:rsidP="00A215B7">
            <w:pPr>
              <w:spacing w:before="0" w:after="0"/>
              <w:rPr>
                <w:rFonts w:cs="Calibri"/>
              </w:rPr>
            </w:pPr>
            <w:r>
              <w:rPr>
                <w:rFonts w:cs="Calibri"/>
              </w:rPr>
              <w:t>BQS 9-1</w:t>
            </w:r>
            <w:r>
              <w:rPr>
                <w:rFonts w:cs="Calibri"/>
              </w:rPr>
              <w:br/>
              <w:t>Nr. 5.5</w:t>
            </w:r>
          </w:p>
        </w:tc>
      </w:tr>
    </w:tbl>
    <w:p w:rsidR="00680600" w:rsidRPr="00011F1D" w:rsidRDefault="00680600" w:rsidP="005B7F37">
      <w:pPr>
        <w:tabs>
          <w:tab w:val="left" w:pos="2837"/>
        </w:tabs>
        <w:spacing w:before="0" w:after="0"/>
        <w:rPr>
          <w:sz w:val="2"/>
          <w:szCs w:val="2"/>
        </w:rPr>
      </w:pPr>
      <w:bookmarkStart w:id="0" w:name="_GoBack"/>
      <w:bookmarkEnd w:id="0"/>
    </w:p>
    <w:sectPr w:rsidR="00680600" w:rsidRPr="00011F1D" w:rsidSect="00D47DD8">
      <w:headerReference w:type="even" r:id="rId8"/>
      <w:headerReference w:type="default" r:id="rId9"/>
      <w:footerReference w:type="default" r:id="rId10"/>
      <w:headerReference w:type="first" r:id="rId11"/>
      <w:footerReference w:type="first" r:id="rId12"/>
      <w:endnotePr>
        <w:numFmt w:val="decimal"/>
      </w:endnotePr>
      <w:type w:val="continuous"/>
      <w:pgSz w:w="11906" w:h="16838" w:code="9"/>
      <w:pgMar w:top="567" w:right="1134" w:bottom="1276" w:left="1134" w:header="720" w:footer="68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DF4" w:rsidRDefault="00617DF4">
      <w:r>
        <w:separator/>
      </w:r>
    </w:p>
  </w:endnote>
  <w:endnote w:type="continuationSeparator" w:id="0">
    <w:p w:rsidR="00617DF4" w:rsidRDefault="0061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DD8" w:rsidRPr="00D47DD8" w:rsidRDefault="00D47DD8" w:rsidP="00D47DD8">
    <w:pPr>
      <w:pStyle w:val="Fuzeile"/>
      <w:tabs>
        <w:tab w:val="clear" w:pos="4536"/>
        <w:tab w:val="clear" w:pos="9072"/>
        <w:tab w:val="center" w:pos="4820"/>
        <w:tab w:val="right" w:pos="9921"/>
      </w:tabs>
      <w:spacing w:before="0" w:after="120"/>
      <w:ind w:right="6379"/>
      <w:rPr>
        <w:sz w:val="18"/>
        <w:szCs w:val="18"/>
      </w:rPr>
    </w:pPr>
    <w:r>
      <w:rPr>
        <w:sz w:val="18"/>
        <w:szCs w:val="18"/>
      </w:rPr>
      <w:pict>
        <v:rect id="_x0000_i1025" style="width:481.9pt;height:1pt" o:hrstd="t" o:hrnoshade="t" o:hr="t" fillcolor="black [3213]" stroked="f"/>
      </w:pict>
    </w:r>
  </w:p>
  <w:p w:rsidR="00D47DD8" w:rsidRPr="00D47DD8" w:rsidRDefault="00D47DD8" w:rsidP="00D47DD8">
    <w:pPr>
      <w:pStyle w:val="Fuzeile"/>
      <w:tabs>
        <w:tab w:val="clear" w:pos="4536"/>
        <w:tab w:val="clear" w:pos="9072"/>
        <w:tab w:val="center" w:pos="4820"/>
        <w:tab w:val="right" w:pos="9921"/>
      </w:tabs>
      <w:spacing w:before="0" w:after="120"/>
      <w:rPr>
        <w:sz w:val="18"/>
        <w:szCs w:val="18"/>
      </w:rPr>
    </w:pPr>
    <w:r w:rsidRPr="00D47DD8">
      <w:rPr>
        <w:sz w:val="18"/>
        <w:szCs w:val="18"/>
        <w:vertAlign w:val="superscript"/>
      </w:rPr>
      <w:t>1</w:t>
    </w:r>
    <w:r w:rsidRPr="00D47DD8">
      <w:rPr>
        <w:sz w:val="18"/>
        <w:szCs w:val="18"/>
      </w:rPr>
      <w:t xml:space="preserve"> Die vollständigen Zitate der jeweiligen Normen oder Inspektionsaufgaben sind den angegebenen Quellen zu entnehmen.</w:t>
    </w:r>
  </w:p>
  <w:p w:rsidR="009F6E9A" w:rsidRPr="00680600" w:rsidRDefault="00680600" w:rsidP="00AB51B8">
    <w:pPr>
      <w:pStyle w:val="Fuzeile"/>
      <w:tabs>
        <w:tab w:val="clear" w:pos="4536"/>
        <w:tab w:val="clear" w:pos="9072"/>
        <w:tab w:val="center" w:pos="4820"/>
        <w:tab w:val="right" w:pos="9921"/>
      </w:tabs>
      <w:rPr>
        <w:b/>
        <w:sz w:val="18"/>
        <w:szCs w:val="18"/>
      </w:rPr>
    </w:pPr>
    <w:r w:rsidRPr="00680600">
      <w:rPr>
        <w:b/>
        <w:sz w:val="18"/>
        <w:szCs w:val="18"/>
      </w:rPr>
      <w:t>FO-B_IS_17020_BQS-9-1</w:t>
    </w:r>
    <w:r w:rsidRPr="00680600">
      <w:rPr>
        <w:sz w:val="18"/>
        <w:szCs w:val="18"/>
      </w:rPr>
      <w:t xml:space="preserve"> / </w:t>
    </w:r>
    <w:r w:rsidR="009F6E9A" w:rsidRPr="00680600">
      <w:rPr>
        <w:sz w:val="18"/>
        <w:szCs w:val="18"/>
      </w:rPr>
      <w:t xml:space="preserve">Rev. 1.0 / </w:t>
    </w:r>
    <w:r w:rsidR="00175A82">
      <w:rPr>
        <w:sz w:val="18"/>
        <w:szCs w:val="18"/>
      </w:rPr>
      <w:t>19.11.2</w:t>
    </w:r>
    <w:r w:rsidR="009F6E9A" w:rsidRPr="00680600">
      <w:rPr>
        <w:sz w:val="18"/>
        <w:szCs w:val="18"/>
      </w:rPr>
      <w:t>0</w:t>
    </w:r>
    <w:r w:rsidR="003578D1">
      <w:rPr>
        <w:sz w:val="18"/>
        <w:szCs w:val="18"/>
      </w:rPr>
      <w:t>21</w:t>
    </w:r>
    <w:r>
      <w:rPr>
        <w:sz w:val="18"/>
        <w:szCs w:val="18"/>
      </w:rPr>
      <w:tab/>
    </w:r>
    <w:r w:rsidR="009F6E9A" w:rsidRPr="00680600">
      <w:rPr>
        <w:sz w:val="18"/>
        <w:szCs w:val="18"/>
      </w:rPr>
      <w:tab/>
      <w:t xml:space="preserve">Seite </w:t>
    </w:r>
    <w:r w:rsidR="009F6E9A" w:rsidRPr="00680600">
      <w:rPr>
        <w:sz w:val="18"/>
        <w:szCs w:val="18"/>
      </w:rPr>
      <w:fldChar w:fldCharType="begin"/>
    </w:r>
    <w:r w:rsidR="009F6E9A" w:rsidRPr="00680600">
      <w:rPr>
        <w:sz w:val="18"/>
        <w:szCs w:val="18"/>
      </w:rPr>
      <w:instrText xml:space="preserve"> PAGE </w:instrText>
    </w:r>
    <w:r w:rsidR="009F6E9A" w:rsidRPr="00680600">
      <w:rPr>
        <w:sz w:val="18"/>
        <w:szCs w:val="18"/>
      </w:rPr>
      <w:fldChar w:fldCharType="separate"/>
    </w:r>
    <w:r w:rsidR="00E0323B">
      <w:rPr>
        <w:noProof/>
        <w:sz w:val="18"/>
        <w:szCs w:val="18"/>
      </w:rPr>
      <w:t>3</w:t>
    </w:r>
    <w:r w:rsidR="009F6E9A" w:rsidRPr="00680600">
      <w:rPr>
        <w:sz w:val="18"/>
        <w:szCs w:val="18"/>
      </w:rPr>
      <w:fldChar w:fldCharType="end"/>
    </w:r>
    <w:r w:rsidR="009F6E9A" w:rsidRPr="00680600">
      <w:rPr>
        <w:sz w:val="18"/>
        <w:szCs w:val="18"/>
      </w:rPr>
      <w:t xml:space="preserve"> von </w:t>
    </w:r>
    <w:r w:rsidR="009F6E9A" w:rsidRPr="00680600">
      <w:rPr>
        <w:noProof/>
        <w:sz w:val="18"/>
        <w:szCs w:val="18"/>
      </w:rPr>
      <w:fldChar w:fldCharType="begin"/>
    </w:r>
    <w:r w:rsidR="009F6E9A" w:rsidRPr="00680600">
      <w:rPr>
        <w:noProof/>
        <w:sz w:val="18"/>
        <w:szCs w:val="18"/>
      </w:rPr>
      <w:instrText xml:space="preserve"> NUMPAGES </w:instrText>
    </w:r>
    <w:r w:rsidR="009F6E9A" w:rsidRPr="00680600">
      <w:rPr>
        <w:noProof/>
        <w:sz w:val="18"/>
        <w:szCs w:val="18"/>
      </w:rPr>
      <w:fldChar w:fldCharType="separate"/>
    </w:r>
    <w:r w:rsidR="00E0323B">
      <w:rPr>
        <w:noProof/>
        <w:sz w:val="18"/>
        <w:szCs w:val="18"/>
      </w:rPr>
      <w:t>4</w:t>
    </w:r>
    <w:r w:rsidR="009F6E9A" w:rsidRPr="00680600">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928"/>
      <w:gridCol w:w="3402"/>
      <w:gridCol w:w="1731"/>
    </w:tblGrid>
    <w:tr w:rsidR="009F6E9A" w:rsidTr="00F56DF7">
      <w:tc>
        <w:tcPr>
          <w:tcW w:w="4928" w:type="dxa"/>
        </w:tcPr>
        <w:p w:rsidR="009F6E9A" w:rsidRDefault="009F6E9A" w:rsidP="009F243B">
          <w:pPr>
            <w:pStyle w:val="Fuzeile"/>
            <w:tabs>
              <w:tab w:val="left" w:pos="9072"/>
              <w:tab w:val="right" w:pos="9781"/>
            </w:tabs>
            <w:overflowPunct w:val="0"/>
            <w:autoSpaceDE w:val="0"/>
            <w:autoSpaceDN w:val="0"/>
            <w:adjustRightInd w:val="0"/>
            <w:textAlignment w:val="baseline"/>
          </w:pPr>
          <w:r w:rsidRPr="00F56DF7">
            <w:rPr>
              <w:b/>
              <w:sz w:val="18"/>
              <w:szCs w:val="18"/>
            </w:rPr>
            <w:t>75 FB 002.1_17025_neues Konzept_E5</w:t>
          </w:r>
          <w:r w:rsidRPr="009F243B">
            <w:rPr>
              <w:sz w:val="18"/>
              <w:szCs w:val="18"/>
            </w:rPr>
            <w:t xml:space="preserve"> </w:t>
          </w:r>
          <w:r w:rsidRPr="00F56DF7">
            <w:rPr>
              <w:sz w:val="18"/>
              <w:szCs w:val="18"/>
            </w:rPr>
            <w:t>/ Rev. 2.0 / TT.MM.JJJJ</w:t>
          </w:r>
        </w:p>
      </w:tc>
      <w:tc>
        <w:tcPr>
          <w:tcW w:w="3402" w:type="dxa"/>
        </w:tcPr>
        <w:p w:rsidR="009F6E9A" w:rsidRDefault="009F6E9A" w:rsidP="00F56DF7">
          <w:pPr>
            <w:pStyle w:val="Fuzeile"/>
            <w:tabs>
              <w:tab w:val="left" w:pos="9072"/>
              <w:tab w:val="right" w:pos="9781"/>
            </w:tabs>
            <w:overflowPunct w:val="0"/>
            <w:autoSpaceDE w:val="0"/>
            <w:autoSpaceDN w:val="0"/>
            <w:adjustRightInd w:val="0"/>
            <w:textAlignment w:val="baseline"/>
          </w:pPr>
          <w:r w:rsidRPr="00F56DF7">
            <w:rPr>
              <w:sz w:val="18"/>
              <w:szCs w:val="18"/>
            </w:rPr>
            <w:t xml:space="preserve">Ausgabedatum:  </w:t>
          </w:r>
          <w:r w:rsidRPr="00F56DF7">
            <w:rPr>
              <w:sz w:val="18"/>
              <w:szCs w:val="18"/>
            </w:rPr>
            <w:fldChar w:fldCharType="begin"/>
          </w:r>
          <w:r w:rsidRPr="00F56DF7">
            <w:rPr>
              <w:sz w:val="18"/>
              <w:szCs w:val="18"/>
            </w:rPr>
            <w:instrText xml:space="preserve"> REF Ausgabedatum \h  \* MERGEFORMAT </w:instrText>
          </w:r>
          <w:r w:rsidRPr="00F56DF7">
            <w:rPr>
              <w:sz w:val="18"/>
              <w:szCs w:val="18"/>
            </w:rPr>
            <w:fldChar w:fldCharType="separate"/>
          </w:r>
          <w:r w:rsidR="00A571B3">
            <w:rPr>
              <w:b/>
              <w:bCs/>
              <w:sz w:val="18"/>
              <w:szCs w:val="18"/>
            </w:rPr>
            <w:t>Fehler! Verweisquelle konnte nicht gefunden werden.</w:t>
          </w:r>
          <w:r w:rsidRPr="00F56DF7">
            <w:rPr>
              <w:sz w:val="18"/>
              <w:szCs w:val="18"/>
            </w:rPr>
            <w:fldChar w:fldCharType="end"/>
          </w:r>
          <w:r w:rsidRPr="00F56DF7">
            <w:rPr>
              <w:sz w:val="18"/>
              <w:szCs w:val="18"/>
            </w:rPr>
            <w:t xml:space="preserve">  </w:t>
          </w:r>
        </w:p>
      </w:tc>
      <w:tc>
        <w:tcPr>
          <w:tcW w:w="1731" w:type="dxa"/>
        </w:tcPr>
        <w:p w:rsidR="009F6E9A" w:rsidRDefault="009F6E9A" w:rsidP="00F56DF7">
          <w:pPr>
            <w:pStyle w:val="Fuzeile"/>
            <w:tabs>
              <w:tab w:val="left" w:pos="9072"/>
              <w:tab w:val="right" w:pos="9781"/>
            </w:tabs>
            <w:overflowPunct w:val="0"/>
            <w:autoSpaceDE w:val="0"/>
            <w:autoSpaceDN w:val="0"/>
            <w:adjustRightInd w:val="0"/>
            <w:textAlignment w:val="baseline"/>
          </w:pPr>
          <w:r w:rsidRPr="00F56DF7">
            <w:rPr>
              <w:rFonts w:cs="Arial"/>
              <w:sz w:val="18"/>
              <w:szCs w:val="18"/>
            </w:rPr>
            <w:t xml:space="preserve">Seite </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Pr>
              <w:rStyle w:val="Seitenzahl"/>
              <w:rFonts w:cs="Arial"/>
              <w:noProof/>
              <w:sz w:val="18"/>
              <w:szCs w:val="18"/>
            </w:rPr>
            <w:t>14</w:t>
          </w:r>
          <w:r w:rsidRPr="00F56DF7">
            <w:rPr>
              <w:rStyle w:val="Seitenzahl"/>
              <w:rFonts w:cs="Arial"/>
              <w:sz w:val="18"/>
              <w:szCs w:val="18"/>
            </w:rPr>
            <w:fldChar w:fldCharType="end"/>
          </w:r>
          <w:r w:rsidRPr="00F56DF7">
            <w:rPr>
              <w:rStyle w:val="Seitenzahl"/>
              <w:rFonts w:cs="Arial"/>
              <w:sz w:val="18"/>
              <w:szCs w:val="18"/>
            </w:rPr>
            <w:t xml:space="preserve"> von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sidR="00A571B3">
            <w:rPr>
              <w:rStyle w:val="Seitenzahl"/>
              <w:rFonts w:cs="Arial"/>
              <w:noProof/>
              <w:sz w:val="18"/>
              <w:szCs w:val="18"/>
            </w:rPr>
            <w:t>1</w:t>
          </w:r>
          <w:r w:rsidRPr="00F56DF7">
            <w:rPr>
              <w:rStyle w:val="Seitenzahl"/>
              <w:rFonts w:cs="Arial"/>
              <w:sz w:val="18"/>
              <w:szCs w:val="18"/>
            </w:rPr>
            <w:fldChar w:fldCharType="end"/>
          </w:r>
        </w:p>
      </w:tc>
    </w:tr>
  </w:tbl>
  <w:p w:rsidR="009F6E9A" w:rsidRPr="009F243B" w:rsidRDefault="009F6E9A" w:rsidP="00236882">
    <w:pPr>
      <w:pStyle w:val="Fuzeile"/>
      <w:tabs>
        <w:tab w:val="left" w:pos="9072"/>
        <w:tab w:val="right" w:pos="9781"/>
      </w:tabs>
      <w:ind w:right="394"/>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DF4" w:rsidRDefault="00617DF4">
      <w:r>
        <w:separator/>
      </w:r>
    </w:p>
  </w:footnote>
  <w:footnote w:type="continuationSeparator" w:id="0">
    <w:p w:rsidR="00617DF4" w:rsidRDefault="00617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E9A" w:rsidRDefault="00617DF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063"/>
      <w:gridCol w:w="4469"/>
      <w:gridCol w:w="1685"/>
      <w:gridCol w:w="1411"/>
    </w:tblGrid>
    <w:tr w:rsidR="00027B14" w:rsidRPr="00EF56D9" w:rsidTr="00011F1D">
      <w:trPr>
        <w:cantSplit/>
        <w:trHeight w:val="810"/>
      </w:trPr>
      <w:tc>
        <w:tcPr>
          <w:tcW w:w="2063" w:type="dxa"/>
          <w:vAlign w:val="center"/>
        </w:tcPr>
        <w:p w:rsidR="00027B14" w:rsidRPr="00A128BC" w:rsidRDefault="00027B14" w:rsidP="00027B14">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14:anchorId="0C5A6627" wp14:editId="030DA76F">
                <wp:extent cx="1104900" cy="466725"/>
                <wp:effectExtent l="0" t="0" r="0" b="9525"/>
                <wp:docPr id="13"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6725"/>
                        </a:xfrm>
                        <a:prstGeom prst="rect">
                          <a:avLst/>
                        </a:prstGeom>
                        <a:noFill/>
                        <a:ln>
                          <a:noFill/>
                        </a:ln>
                      </pic:spPr>
                    </pic:pic>
                  </a:graphicData>
                </a:graphic>
              </wp:inline>
            </w:drawing>
          </w:r>
        </w:p>
      </w:tc>
      <w:tc>
        <w:tcPr>
          <w:tcW w:w="4469" w:type="dxa"/>
          <w:vAlign w:val="center"/>
        </w:tcPr>
        <w:p w:rsidR="00027B14" w:rsidRPr="00181DD4" w:rsidRDefault="00027B14" w:rsidP="00027B14">
          <w:pPr>
            <w:pStyle w:val="Kopfzeile"/>
            <w:jc w:val="center"/>
            <w:rPr>
              <w:rFonts w:ascii="Calibri" w:hAnsi="Calibri" w:cs="Arial"/>
              <w:b/>
              <w:sz w:val="24"/>
              <w:szCs w:val="24"/>
              <w:lang w:val="de-DE" w:eastAsia="de-DE"/>
            </w:rPr>
          </w:pPr>
          <w:r>
            <w:rPr>
              <w:rFonts w:ascii="Calibri" w:hAnsi="Calibri"/>
              <w:b/>
              <w:sz w:val="24"/>
              <w:szCs w:val="24"/>
              <w:lang w:val="de-DE" w:eastAsia="de-DE"/>
            </w:rPr>
            <w:t>Checkliste - Inspektionsaufgaben</w:t>
          </w:r>
          <w:r>
            <w:rPr>
              <w:rFonts w:ascii="Calibri" w:hAnsi="Calibri"/>
              <w:b/>
              <w:sz w:val="24"/>
              <w:szCs w:val="24"/>
              <w:lang w:val="de-DE" w:eastAsia="de-DE"/>
            </w:rPr>
            <w:br/>
          </w:r>
          <w:r w:rsidRPr="00181DD4">
            <w:rPr>
              <w:rFonts w:ascii="Calibri" w:hAnsi="Calibri"/>
              <w:b/>
              <w:sz w:val="24"/>
              <w:szCs w:val="24"/>
              <w:lang w:val="de-DE" w:eastAsia="de-DE"/>
            </w:rPr>
            <w:t xml:space="preserve">für </w:t>
          </w:r>
          <w:r>
            <w:rPr>
              <w:rFonts w:ascii="Calibri" w:hAnsi="Calibri"/>
              <w:b/>
              <w:sz w:val="24"/>
              <w:szCs w:val="24"/>
              <w:lang w:val="de-DE" w:eastAsia="de-DE"/>
            </w:rPr>
            <w:t>Inspektionsstellen gemäß BQS 9-1</w:t>
          </w:r>
        </w:p>
      </w:tc>
      <w:tc>
        <w:tcPr>
          <w:tcW w:w="1685" w:type="dxa"/>
          <w:vAlign w:val="center"/>
        </w:tcPr>
        <w:p w:rsidR="00027B14" w:rsidRPr="00A45C09" w:rsidRDefault="00027B14" w:rsidP="00027B14">
          <w:pPr>
            <w:pStyle w:val="Kopfzeile"/>
            <w:jc w:val="center"/>
            <w:rPr>
              <w:rFonts w:ascii="Calibri" w:hAnsi="Calibri" w:cs="Arial"/>
              <w:b/>
              <w:lang w:val="de-DE" w:eastAsia="de-DE"/>
            </w:rPr>
          </w:pPr>
          <w:r w:rsidRPr="00A45C09">
            <w:rPr>
              <w:rFonts w:ascii="Calibri" w:hAnsi="Calibri" w:cs="Arial"/>
              <w:b/>
              <w:lang w:val="de-DE" w:eastAsia="de-DE"/>
            </w:rPr>
            <w:fldChar w:fldCharType="begin"/>
          </w:r>
          <w:r w:rsidRPr="00A45C09">
            <w:rPr>
              <w:rFonts w:ascii="Calibri" w:hAnsi="Calibri" w:cs="Arial"/>
              <w:b/>
              <w:lang w:val="de-DE" w:eastAsia="de-DE"/>
            </w:rPr>
            <w:instrText xml:space="preserve"> STYLEREF  FV_VNR  \* MERGEFORMAT </w:instrText>
          </w:r>
          <w:r w:rsidRPr="00A45C09">
            <w:rPr>
              <w:rFonts w:ascii="Calibri" w:hAnsi="Calibri" w:cs="Arial"/>
              <w:b/>
              <w:lang w:val="de-DE" w:eastAsia="de-DE"/>
            </w:rPr>
            <w:fldChar w:fldCharType="end"/>
          </w:r>
        </w:p>
      </w:tc>
      <w:tc>
        <w:tcPr>
          <w:tcW w:w="1411" w:type="dxa"/>
          <w:vAlign w:val="center"/>
        </w:tcPr>
        <w:p w:rsidR="00027B14" w:rsidRPr="00A45C09" w:rsidRDefault="00027B14" w:rsidP="00027B14">
          <w:pPr>
            <w:pStyle w:val="Kopfzeile"/>
            <w:jc w:val="center"/>
            <w:rPr>
              <w:rFonts w:ascii="Calibri" w:hAnsi="Calibri" w:cs="Arial"/>
              <w:b/>
              <w:lang w:val="de-DE" w:eastAsia="de-DE"/>
            </w:rPr>
          </w:pPr>
          <w:r w:rsidRPr="00A45C09">
            <w:rPr>
              <w:rFonts w:ascii="Calibri" w:hAnsi="Calibri" w:cs="Arial"/>
              <w:b/>
              <w:lang w:val="de-DE" w:eastAsia="de-DE"/>
            </w:rPr>
            <w:fldChar w:fldCharType="begin"/>
          </w:r>
          <w:r w:rsidRPr="00A45C09">
            <w:rPr>
              <w:rFonts w:ascii="Calibri" w:hAnsi="Calibri" w:cs="Arial"/>
              <w:b/>
              <w:lang w:val="de-DE" w:eastAsia="de-DE"/>
            </w:rPr>
            <w:instrText xml:space="preserve"> STYLEREF  FV_Phase-2  \* MERGEFORMAT </w:instrText>
          </w:r>
          <w:r w:rsidRPr="00A45C09">
            <w:rPr>
              <w:rFonts w:ascii="Calibri" w:hAnsi="Calibri" w:cs="Arial"/>
              <w:b/>
              <w:lang w:val="de-DE" w:eastAsia="de-DE"/>
            </w:rPr>
            <w:fldChar w:fldCharType="end"/>
          </w:r>
        </w:p>
      </w:tc>
    </w:tr>
  </w:tbl>
  <w:p w:rsidR="009F6E9A" w:rsidRPr="0060039B" w:rsidRDefault="009F6E9A" w:rsidP="005B7F37">
    <w:pPr>
      <w:spacing w:before="0"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127"/>
      <w:gridCol w:w="5103"/>
      <w:gridCol w:w="2693"/>
    </w:tblGrid>
    <w:tr w:rsidR="009F6E9A" w:rsidRPr="00EF56D9" w:rsidTr="000B0B61">
      <w:trPr>
        <w:cantSplit/>
        <w:trHeight w:val="355"/>
      </w:trPr>
      <w:tc>
        <w:tcPr>
          <w:tcW w:w="2127" w:type="dxa"/>
          <w:vMerge w:val="restart"/>
          <w:vAlign w:val="center"/>
        </w:tcPr>
        <w:p w:rsidR="009F6E9A" w:rsidRPr="00A128BC" w:rsidRDefault="009F6E9A" w:rsidP="00BE084E">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extent cx="1104900" cy="466725"/>
                <wp:effectExtent l="0" t="0" r="0" b="9525"/>
                <wp:docPr id="14"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6725"/>
                        </a:xfrm>
                        <a:prstGeom prst="rect">
                          <a:avLst/>
                        </a:prstGeom>
                        <a:noFill/>
                        <a:ln>
                          <a:noFill/>
                        </a:ln>
                      </pic:spPr>
                    </pic:pic>
                  </a:graphicData>
                </a:graphic>
              </wp:inline>
            </w:drawing>
          </w:r>
        </w:p>
      </w:tc>
      <w:tc>
        <w:tcPr>
          <w:tcW w:w="5103" w:type="dxa"/>
          <w:vMerge w:val="restart"/>
          <w:vAlign w:val="center"/>
        </w:tcPr>
        <w:p w:rsidR="009F6E9A" w:rsidRPr="00A128BC" w:rsidRDefault="009F6E9A" w:rsidP="00F536AB">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 xml:space="preserve">zur DIN EN ISO/IEC 17025 </w:t>
          </w:r>
        </w:p>
      </w:tc>
      <w:tc>
        <w:tcPr>
          <w:tcW w:w="2693" w:type="dxa"/>
          <w:vAlign w:val="center"/>
        </w:tcPr>
        <w:p w:rsidR="009F6E9A" w:rsidRPr="00A128BC" w:rsidRDefault="009F6E9A" w:rsidP="00234062">
          <w:pPr>
            <w:pStyle w:val="Kopfzeile"/>
            <w:jc w:val="center"/>
            <w:rPr>
              <w:rFonts w:ascii="Calibri" w:hAnsi="Calibri" w:cs="Arial"/>
              <w:b/>
              <w:sz w:val="22"/>
              <w:szCs w:val="22"/>
              <w:lang w:val="de-DE" w:eastAsia="de-DE"/>
            </w:rPr>
          </w:pPr>
        </w:p>
      </w:tc>
    </w:tr>
    <w:tr w:rsidR="009F6E9A" w:rsidRPr="00EF56D9" w:rsidTr="000B0B61">
      <w:trPr>
        <w:cantSplit/>
        <w:trHeight w:val="355"/>
      </w:trPr>
      <w:tc>
        <w:tcPr>
          <w:tcW w:w="2127" w:type="dxa"/>
          <w:vMerge/>
          <w:vAlign w:val="center"/>
        </w:tcPr>
        <w:p w:rsidR="009F6E9A" w:rsidRPr="00A128BC" w:rsidRDefault="009F6E9A" w:rsidP="00BE084E">
          <w:pPr>
            <w:pStyle w:val="Kopfzeile"/>
            <w:jc w:val="center"/>
            <w:rPr>
              <w:rFonts w:ascii="Calibri" w:hAnsi="Calibri"/>
              <w:b/>
              <w:sz w:val="22"/>
              <w:lang w:val="de-DE" w:eastAsia="de-DE"/>
            </w:rPr>
          </w:pPr>
        </w:p>
      </w:tc>
      <w:tc>
        <w:tcPr>
          <w:tcW w:w="5103" w:type="dxa"/>
          <w:vMerge/>
          <w:vAlign w:val="center"/>
        </w:tcPr>
        <w:p w:rsidR="009F6E9A" w:rsidRPr="00A128BC" w:rsidRDefault="009F6E9A" w:rsidP="00BE084E">
          <w:pPr>
            <w:pStyle w:val="Kopfzeile"/>
            <w:jc w:val="center"/>
            <w:rPr>
              <w:rFonts w:ascii="Calibri" w:hAnsi="Calibri" w:cs="Arial"/>
              <w:b/>
              <w:sz w:val="28"/>
              <w:szCs w:val="28"/>
              <w:lang w:val="de-DE" w:eastAsia="de-DE"/>
            </w:rPr>
          </w:pPr>
        </w:p>
      </w:tc>
      <w:tc>
        <w:tcPr>
          <w:tcW w:w="2693" w:type="dxa"/>
          <w:vAlign w:val="center"/>
        </w:tcPr>
        <w:p w:rsidR="009F6E9A" w:rsidRPr="00A128BC" w:rsidRDefault="009F6E9A" w:rsidP="00BE084E">
          <w:pPr>
            <w:pStyle w:val="Kopfzeile"/>
            <w:jc w:val="center"/>
            <w:rPr>
              <w:rFonts w:ascii="Calibri" w:hAnsi="Calibri" w:cs="Arial"/>
              <w:b/>
              <w:sz w:val="22"/>
              <w:szCs w:val="22"/>
              <w:lang w:val="de-DE" w:eastAsia="de-DE"/>
            </w:rPr>
          </w:pPr>
        </w:p>
      </w:tc>
    </w:tr>
  </w:tbl>
  <w:p w:rsidR="009F6E9A" w:rsidRDefault="009F6E9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15950"/>
    <w:multiLevelType w:val="hybridMultilevel"/>
    <w:tmpl w:val="544A2CD4"/>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60363D2"/>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930237"/>
    <w:multiLevelType w:val="hybridMultilevel"/>
    <w:tmpl w:val="4BD81452"/>
    <w:lvl w:ilvl="0" w:tplc="1F2091E8">
      <w:start w:val="5"/>
      <w:numFmt w:val="bullet"/>
      <w:lvlText w:val="-"/>
      <w:lvlJc w:val="left"/>
      <w:pPr>
        <w:ind w:left="360" w:hanging="360"/>
      </w:pPr>
      <w:rPr>
        <w:rFonts w:ascii="Cambria" w:eastAsia="Times New Roman" w:hAnsi="Cambria" w:cs="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D287302"/>
    <w:multiLevelType w:val="hybridMultilevel"/>
    <w:tmpl w:val="5540F3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8C1966"/>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DE3A22"/>
    <w:multiLevelType w:val="hybridMultilevel"/>
    <w:tmpl w:val="EF844BE6"/>
    <w:lvl w:ilvl="0" w:tplc="1F2091E8">
      <w:start w:val="5"/>
      <w:numFmt w:val="bullet"/>
      <w:lvlText w:val="-"/>
      <w:lvlJc w:val="left"/>
      <w:pPr>
        <w:ind w:left="360" w:hanging="360"/>
      </w:pPr>
      <w:rPr>
        <w:rFonts w:ascii="Cambria" w:eastAsia="Times New Roman" w:hAnsi="Cambria" w:cs="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40A4582"/>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48C47B9"/>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6745B64"/>
    <w:multiLevelType w:val="hybridMultilevel"/>
    <w:tmpl w:val="A39C4718"/>
    <w:lvl w:ilvl="0" w:tplc="1F2091E8">
      <w:start w:val="5"/>
      <w:numFmt w:val="bullet"/>
      <w:lvlText w:val="-"/>
      <w:lvlJc w:val="left"/>
      <w:pPr>
        <w:ind w:left="360" w:hanging="360"/>
      </w:pPr>
      <w:rPr>
        <w:rFonts w:ascii="Cambria" w:eastAsia="Times New Roman" w:hAnsi="Cambria" w:cs="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D042A7F"/>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E983156"/>
    <w:multiLevelType w:val="hybridMultilevel"/>
    <w:tmpl w:val="E7CC28E4"/>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29D7EFF"/>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27F5111"/>
    <w:multiLevelType w:val="multilevel"/>
    <w:tmpl w:val="46FCB4A2"/>
    <w:lvl w:ilvl="0">
      <w:start w:val="1"/>
      <w:numFmt w:val="decimal"/>
      <w:lvlText w:val="%1."/>
      <w:lvlJc w:val="left"/>
      <w:pPr>
        <w:ind w:left="502" w:hanging="360"/>
      </w:pPr>
      <w:rPr>
        <w:b w:val="0"/>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3" w15:restartNumberingAfterBreak="0">
    <w:nsid w:val="46EB62EA"/>
    <w:multiLevelType w:val="hybridMultilevel"/>
    <w:tmpl w:val="378A39D4"/>
    <w:lvl w:ilvl="0" w:tplc="A2E227C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EA0907"/>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7E11EAE"/>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35B673B"/>
    <w:multiLevelType w:val="hybridMultilevel"/>
    <w:tmpl w:val="25D4990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EC424FD"/>
    <w:multiLevelType w:val="hybridMultilevel"/>
    <w:tmpl w:val="52B42E58"/>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74BF1871"/>
    <w:multiLevelType w:val="hybridMultilevel"/>
    <w:tmpl w:val="F7DC5B22"/>
    <w:lvl w:ilvl="0" w:tplc="E7DEF23E">
      <w:start w:val="6"/>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AB079E9"/>
    <w:multiLevelType w:val="hybridMultilevel"/>
    <w:tmpl w:val="4EB60E48"/>
    <w:lvl w:ilvl="0" w:tplc="DC28A860">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C784CF5"/>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16"/>
  </w:num>
  <w:num w:numId="3">
    <w:abstractNumId w:val="20"/>
  </w:num>
  <w:num w:numId="4">
    <w:abstractNumId w:val="10"/>
  </w:num>
  <w:num w:numId="5">
    <w:abstractNumId w:val="1"/>
  </w:num>
  <w:num w:numId="6">
    <w:abstractNumId w:val="3"/>
  </w:num>
  <w:num w:numId="7">
    <w:abstractNumId w:val="17"/>
  </w:num>
  <w:num w:numId="8">
    <w:abstractNumId w:val="14"/>
  </w:num>
  <w:num w:numId="9">
    <w:abstractNumId w:val="21"/>
  </w:num>
  <w:num w:numId="10">
    <w:abstractNumId w:val="8"/>
  </w:num>
  <w:num w:numId="11">
    <w:abstractNumId w:val="2"/>
  </w:num>
  <w:num w:numId="12">
    <w:abstractNumId w:val="5"/>
  </w:num>
  <w:num w:numId="13">
    <w:abstractNumId w:val="18"/>
  </w:num>
  <w:num w:numId="14">
    <w:abstractNumId w:val="0"/>
  </w:num>
  <w:num w:numId="15">
    <w:abstractNumId w:val="4"/>
  </w:num>
  <w:num w:numId="16">
    <w:abstractNumId w:val="7"/>
  </w:num>
  <w:num w:numId="17">
    <w:abstractNumId w:val="9"/>
  </w:num>
  <w:num w:numId="18">
    <w:abstractNumId w:val="15"/>
  </w:num>
  <w:num w:numId="19">
    <w:abstractNumId w:val="11"/>
  </w:num>
  <w:num w:numId="20">
    <w:abstractNumId w:val="6"/>
  </w:num>
  <w:num w:numId="21">
    <w:abstractNumId w:val="19"/>
  </w:num>
  <w:num w:numId="22">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97"/>
  <w:hyphenationZone w:val="425"/>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0138B"/>
    <w:rsid w:val="00001C43"/>
    <w:rsid w:val="00006FDF"/>
    <w:rsid w:val="00007BBB"/>
    <w:rsid w:val="000103C0"/>
    <w:rsid w:val="000113AB"/>
    <w:rsid w:val="00011F1D"/>
    <w:rsid w:val="000145CD"/>
    <w:rsid w:val="00015630"/>
    <w:rsid w:val="00027632"/>
    <w:rsid w:val="00027B14"/>
    <w:rsid w:val="00031CA0"/>
    <w:rsid w:val="00033F75"/>
    <w:rsid w:val="00034C15"/>
    <w:rsid w:val="00036226"/>
    <w:rsid w:val="00043672"/>
    <w:rsid w:val="00043A88"/>
    <w:rsid w:val="0004629B"/>
    <w:rsid w:val="00046647"/>
    <w:rsid w:val="00052528"/>
    <w:rsid w:val="00052CC2"/>
    <w:rsid w:val="00057A43"/>
    <w:rsid w:val="00061988"/>
    <w:rsid w:val="00062888"/>
    <w:rsid w:val="00062F6B"/>
    <w:rsid w:val="00063A91"/>
    <w:rsid w:val="000664EC"/>
    <w:rsid w:val="00067E0A"/>
    <w:rsid w:val="00072A0F"/>
    <w:rsid w:val="000756D4"/>
    <w:rsid w:val="000850E6"/>
    <w:rsid w:val="00087B7D"/>
    <w:rsid w:val="00093A56"/>
    <w:rsid w:val="00096845"/>
    <w:rsid w:val="000A3BC6"/>
    <w:rsid w:val="000A5400"/>
    <w:rsid w:val="000A661A"/>
    <w:rsid w:val="000A747E"/>
    <w:rsid w:val="000B0B61"/>
    <w:rsid w:val="000B1D9D"/>
    <w:rsid w:val="000B3EA0"/>
    <w:rsid w:val="000B437B"/>
    <w:rsid w:val="000B5CB5"/>
    <w:rsid w:val="000C1B8A"/>
    <w:rsid w:val="000C58C4"/>
    <w:rsid w:val="000C680C"/>
    <w:rsid w:val="000D0AB2"/>
    <w:rsid w:val="000D1CCD"/>
    <w:rsid w:val="000D2038"/>
    <w:rsid w:val="000D20C4"/>
    <w:rsid w:val="000D231F"/>
    <w:rsid w:val="000D3E10"/>
    <w:rsid w:val="000D4CDF"/>
    <w:rsid w:val="000D714B"/>
    <w:rsid w:val="000E132C"/>
    <w:rsid w:val="000E43D5"/>
    <w:rsid w:val="000E4E65"/>
    <w:rsid w:val="000E5985"/>
    <w:rsid w:val="000E636F"/>
    <w:rsid w:val="000F02D1"/>
    <w:rsid w:val="000F1F79"/>
    <w:rsid w:val="000F4619"/>
    <w:rsid w:val="000F5076"/>
    <w:rsid w:val="000F7963"/>
    <w:rsid w:val="001041F6"/>
    <w:rsid w:val="00107EA3"/>
    <w:rsid w:val="001104CE"/>
    <w:rsid w:val="001137B5"/>
    <w:rsid w:val="0011699F"/>
    <w:rsid w:val="00121024"/>
    <w:rsid w:val="00122641"/>
    <w:rsid w:val="00122A1A"/>
    <w:rsid w:val="00123222"/>
    <w:rsid w:val="00131F14"/>
    <w:rsid w:val="0013640D"/>
    <w:rsid w:val="00137FBC"/>
    <w:rsid w:val="00141A2C"/>
    <w:rsid w:val="00144D9E"/>
    <w:rsid w:val="0014582E"/>
    <w:rsid w:val="001462D1"/>
    <w:rsid w:val="001479ED"/>
    <w:rsid w:val="001504AF"/>
    <w:rsid w:val="001517C0"/>
    <w:rsid w:val="00153853"/>
    <w:rsid w:val="00157BC6"/>
    <w:rsid w:val="00157DE0"/>
    <w:rsid w:val="00161221"/>
    <w:rsid w:val="00163CD1"/>
    <w:rsid w:val="0017040D"/>
    <w:rsid w:val="001708CF"/>
    <w:rsid w:val="00171181"/>
    <w:rsid w:val="001730D4"/>
    <w:rsid w:val="001745D2"/>
    <w:rsid w:val="00175A82"/>
    <w:rsid w:val="001760B8"/>
    <w:rsid w:val="00181754"/>
    <w:rsid w:val="00181DD4"/>
    <w:rsid w:val="0018332C"/>
    <w:rsid w:val="00183B03"/>
    <w:rsid w:val="001840CC"/>
    <w:rsid w:val="0018435A"/>
    <w:rsid w:val="001874C4"/>
    <w:rsid w:val="0019110F"/>
    <w:rsid w:val="00192F12"/>
    <w:rsid w:val="00195CCE"/>
    <w:rsid w:val="00196DCF"/>
    <w:rsid w:val="001A03D9"/>
    <w:rsid w:val="001A4281"/>
    <w:rsid w:val="001A6C35"/>
    <w:rsid w:val="001B0FCB"/>
    <w:rsid w:val="001B12D4"/>
    <w:rsid w:val="001B1351"/>
    <w:rsid w:val="001B1B55"/>
    <w:rsid w:val="001B418E"/>
    <w:rsid w:val="001C181F"/>
    <w:rsid w:val="001C2533"/>
    <w:rsid w:val="001C468B"/>
    <w:rsid w:val="001C530F"/>
    <w:rsid w:val="001D113A"/>
    <w:rsid w:val="001D270A"/>
    <w:rsid w:val="001D5268"/>
    <w:rsid w:val="001D5E4C"/>
    <w:rsid w:val="001E016C"/>
    <w:rsid w:val="001E1A65"/>
    <w:rsid w:val="001E28ED"/>
    <w:rsid w:val="001E3F7C"/>
    <w:rsid w:val="001E64F2"/>
    <w:rsid w:val="001F4131"/>
    <w:rsid w:val="001F6F0B"/>
    <w:rsid w:val="001F7962"/>
    <w:rsid w:val="00200FBE"/>
    <w:rsid w:val="002019BC"/>
    <w:rsid w:val="002020D6"/>
    <w:rsid w:val="00202B3F"/>
    <w:rsid w:val="00202BE7"/>
    <w:rsid w:val="00204431"/>
    <w:rsid w:val="002053DB"/>
    <w:rsid w:val="00206351"/>
    <w:rsid w:val="002074DF"/>
    <w:rsid w:val="00211626"/>
    <w:rsid w:val="00217084"/>
    <w:rsid w:val="00217A07"/>
    <w:rsid w:val="00221A87"/>
    <w:rsid w:val="002235DA"/>
    <w:rsid w:val="0022407A"/>
    <w:rsid w:val="00224EA3"/>
    <w:rsid w:val="002256D6"/>
    <w:rsid w:val="00226FCC"/>
    <w:rsid w:val="002312D0"/>
    <w:rsid w:val="00231DD1"/>
    <w:rsid w:val="00232707"/>
    <w:rsid w:val="00233818"/>
    <w:rsid w:val="0023386A"/>
    <w:rsid w:val="00233C09"/>
    <w:rsid w:val="00234062"/>
    <w:rsid w:val="00236685"/>
    <w:rsid w:val="00236882"/>
    <w:rsid w:val="00240CA6"/>
    <w:rsid w:val="002423E7"/>
    <w:rsid w:val="00242DDF"/>
    <w:rsid w:val="00245704"/>
    <w:rsid w:val="002457AD"/>
    <w:rsid w:val="00250989"/>
    <w:rsid w:val="002533B4"/>
    <w:rsid w:val="00256B25"/>
    <w:rsid w:val="00257C7E"/>
    <w:rsid w:val="002607B5"/>
    <w:rsid w:val="00261854"/>
    <w:rsid w:val="00265687"/>
    <w:rsid w:val="002658DD"/>
    <w:rsid w:val="00266651"/>
    <w:rsid w:val="00266DA0"/>
    <w:rsid w:val="00266F43"/>
    <w:rsid w:val="00270E90"/>
    <w:rsid w:val="00272EB9"/>
    <w:rsid w:val="00274E43"/>
    <w:rsid w:val="0027504C"/>
    <w:rsid w:val="002750EB"/>
    <w:rsid w:val="0027725E"/>
    <w:rsid w:val="00281048"/>
    <w:rsid w:val="0028149D"/>
    <w:rsid w:val="00283B67"/>
    <w:rsid w:val="00284985"/>
    <w:rsid w:val="00285F8C"/>
    <w:rsid w:val="002866A5"/>
    <w:rsid w:val="00286E8F"/>
    <w:rsid w:val="00290660"/>
    <w:rsid w:val="00292A98"/>
    <w:rsid w:val="00297047"/>
    <w:rsid w:val="00297731"/>
    <w:rsid w:val="00297E0C"/>
    <w:rsid w:val="002A2DCB"/>
    <w:rsid w:val="002A34F6"/>
    <w:rsid w:val="002A6681"/>
    <w:rsid w:val="002A7750"/>
    <w:rsid w:val="002A7BAF"/>
    <w:rsid w:val="002B5E25"/>
    <w:rsid w:val="002B612F"/>
    <w:rsid w:val="002B74B0"/>
    <w:rsid w:val="002C0198"/>
    <w:rsid w:val="002C0CD3"/>
    <w:rsid w:val="002C2953"/>
    <w:rsid w:val="002C72C2"/>
    <w:rsid w:val="002D160F"/>
    <w:rsid w:val="002D4320"/>
    <w:rsid w:val="002D6CAB"/>
    <w:rsid w:val="002D6EC4"/>
    <w:rsid w:val="002E14F1"/>
    <w:rsid w:val="002E253F"/>
    <w:rsid w:val="002E6099"/>
    <w:rsid w:val="002F161F"/>
    <w:rsid w:val="002F3B28"/>
    <w:rsid w:val="002F7A9D"/>
    <w:rsid w:val="0030195B"/>
    <w:rsid w:val="003035C1"/>
    <w:rsid w:val="003041B9"/>
    <w:rsid w:val="00304BCA"/>
    <w:rsid w:val="00305256"/>
    <w:rsid w:val="00305FE6"/>
    <w:rsid w:val="003101AD"/>
    <w:rsid w:val="003101CB"/>
    <w:rsid w:val="00312DF5"/>
    <w:rsid w:val="00321299"/>
    <w:rsid w:val="00321633"/>
    <w:rsid w:val="0032202C"/>
    <w:rsid w:val="00324D0F"/>
    <w:rsid w:val="003258D8"/>
    <w:rsid w:val="003258EF"/>
    <w:rsid w:val="00326142"/>
    <w:rsid w:val="00327210"/>
    <w:rsid w:val="003307B5"/>
    <w:rsid w:val="003328E2"/>
    <w:rsid w:val="00333C21"/>
    <w:rsid w:val="00334DC1"/>
    <w:rsid w:val="0033562E"/>
    <w:rsid w:val="0034075A"/>
    <w:rsid w:val="003413BA"/>
    <w:rsid w:val="0034262B"/>
    <w:rsid w:val="00345A20"/>
    <w:rsid w:val="00346A5E"/>
    <w:rsid w:val="00347CC3"/>
    <w:rsid w:val="00350B36"/>
    <w:rsid w:val="0035125B"/>
    <w:rsid w:val="003516E3"/>
    <w:rsid w:val="00353352"/>
    <w:rsid w:val="00355C7F"/>
    <w:rsid w:val="003567D2"/>
    <w:rsid w:val="003578D1"/>
    <w:rsid w:val="00363991"/>
    <w:rsid w:val="003669B0"/>
    <w:rsid w:val="0037031C"/>
    <w:rsid w:val="00371AF2"/>
    <w:rsid w:val="00372695"/>
    <w:rsid w:val="0037730C"/>
    <w:rsid w:val="00382814"/>
    <w:rsid w:val="00384E92"/>
    <w:rsid w:val="00385C40"/>
    <w:rsid w:val="00387105"/>
    <w:rsid w:val="0039417E"/>
    <w:rsid w:val="00395B7A"/>
    <w:rsid w:val="00397801"/>
    <w:rsid w:val="003A18A2"/>
    <w:rsid w:val="003A3970"/>
    <w:rsid w:val="003A40A5"/>
    <w:rsid w:val="003A4445"/>
    <w:rsid w:val="003A612A"/>
    <w:rsid w:val="003B1DF8"/>
    <w:rsid w:val="003B4228"/>
    <w:rsid w:val="003C46A5"/>
    <w:rsid w:val="003C47AC"/>
    <w:rsid w:val="003C54EF"/>
    <w:rsid w:val="003D200C"/>
    <w:rsid w:val="003D23FB"/>
    <w:rsid w:val="003E66E1"/>
    <w:rsid w:val="003F1541"/>
    <w:rsid w:val="003F464E"/>
    <w:rsid w:val="003F5FC4"/>
    <w:rsid w:val="003F6476"/>
    <w:rsid w:val="003F6CE8"/>
    <w:rsid w:val="003F771A"/>
    <w:rsid w:val="003F7866"/>
    <w:rsid w:val="00400081"/>
    <w:rsid w:val="00400349"/>
    <w:rsid w:val="00404AF9"/>
    <w:rsid w:val="00404E37"/>
    <w:rsid w:val="00406BD2"/>
    <w:rsid w:val="00410981"/>
    <w:rsid w:val="00410E3F"/>
    <w:rsid w:val="00411002"/>
    <w:rsid w:val="004159B4"/>
    <w:rsid w:val="00415F5A"/>
    <w:rsid w:val="004171E0"/>
    <w:rsid w:val="004201E6"/>
    <w:rsid w:val="00420667"/>
    <w:rsid w:val="00427630"/>
    <w:rsid w:val="004310BD"/>
    <w:rsid w:val="00432264"/>
    <w:rsid w:val="004337D8"/>
    <w:rsid w:val="00437A65"/>
    <w:rsid w:val="00441DD5"/>
    <w:rsid w:val="00442962"/>
    <w:rsid w:val="004429FE"/>
    <w:rsid w:val="00444D95"/>
    <w:rsid w:val="00444EB4"/>
    <w:rsid w:val="00445073"/>
    <w:rsid w:val="004460EE"/>
    <w:rsid w:val="00452F30"/>
    <w:rsid w:val="00454743"/>
    <w:rsid w:val="00456494"/>
    <w:rsid w:val="0045771E"/>
    <w:rsid w:val="00463C1A"/>
    <w:rsid w:val="004725FD"/>
    <w:rsid w:val="004748F5"/>
    <w:rsid w:val="00474CE5"/>
    <w:rsid w:val="00475F7F"/>
    <w:rsid w:val="004851BF"/>
    <w:rsid w:val="00486F6F"/>
    <w:rsid w:val="004913DE"/>
    <w:rsid w:val="00494264"/>
    <w:rsid w:val="004946EE"/>
    <w:rsid w:val="00494982"/>
    <w:rsid w:val="0049571B"/>
    <w:rsid w:val="00497FE6"/>
    <w:rsid w:val="004A213A"/>
    <w:rsid w:val="004A250C"/>
    <w:rsid w:val="004A41A8"/>
    <w:rsid w:val="004A5438"/>
    <w:rsid w:val="004A7422"/>
    <w:rsid w:val="004A7790"/>
    <w:rsid w:val="004B0265"/>
    <w:rsid w:val="004B188D"/>
    <w:rsid w:val="004B29A6"/>
    <w:rsid w:val="004B2B2D"/>
    <w:rsid w:val="004B36E7"/>
    <w:rsid w:val="004B4BEA"/>
    <w:rsid w:val="004B6359"/>
    <w:rsid w:val="004B6A18"/>
    <w:rsid w:val="004B6FFB"/>
    <w:rsid w:val="004B7ADE"/>
    <w:rsid w:val="004C30D0"/>
    <w:rsid w:val="004D108B"/>
    <w:rsid w:val="004D1AB6"/>
    <w:rsid w:val="004D2984"/>
    <w:rsid w:val="004D42B7"/>
    <w:rsid w:val="004D4304"/>
    <w:rsid w:val="004E2DE7"/>
    <w:rsid w:val="004E51A0"/>
    <w:rsid w:val="004E728D"/>
    <w:rsid w:val="004E75AF"/>
    <w:rsid w:val="004F1854"/>
    <w:rsid w:val="004F4222"/>
    <w:rsid w:val="004F6A2E"/>
    <w:rsid w:val="004F7533"/>
    <w:rsid w:val="00500435"/>
    <w:rsid w:val="00500E66"/>
    <w:rsid w:val="0050278B"/>
    <w:rsid w:val="00502CE5"/>
    <w:rsid w:val="0050435D"/>
    <w:rsid w:val="00505342"/>
    <w:rsid w:val="00512AB2"/>
    <w:rsid w:val="00513650"/>
    <w:rsid w:val="00522054"/>
    <w:rsid w:val="00522E35"/>
    <w:rsid w:val="00524365"/>
    <w:rsid w:val="005252AC"/>
    <w:rsid w:val="00525ABD"/>
    <w:rsid w:val="00525D39"/>
    <w:rsid w:val="00526C62"/>
    <w:rsid w:val="00530011"/>
    <w:rsid w:val="00530425"/>
    <w:rsid w:val="0054132C"/>
    <w:rsid w:val="00542782"/>
    <w:rsid w:val="005429DE"/>
    <w:rsid w:val="005434BB"/>
    <w:rsid w:val="0054464B"/>
    <w:rsid w:val="00545C41"/>
    <w:rsid w:val="00546335"/>
    <w:rsid w:val="00546A25"/>
    <w:rsid w:val="00551019"/>
    <w:rsid w:val="00551536"/>
    <w:rsid w:val="00560315"/>
    <w:rsid w:val="0056156A"/>
    <w:rsid w:val="00561DCA"/>
    <w:rsid w:val="00563E17"/>
    <w:rsid w:val="005650B6"/>
    <w:rsid w:val="005663B4"/>
    <w:rsid w:val="00566787"/>
    <w:rsid w:val="00567479"/>
    <w:rsid w:val="0057264C"/>
    <w:rsid w:val="00573946"/>
    <w:rsid w:val="005745EB"/>
    <w:rsid w:val="00574F1F"/>
    <w:rsid w:val="00577039"/>
    <w:rsid w:val="00580CD6"/>
    <w:rsid w:val="0058102A"/>
    <w:rsid w:val="00582A62"/>
    <w:rsid w:val="005862A2"/>
    <w:rsid w:val="005924B9"/>
    <w:rsid w:val="005944B5"/>
    <w:rsid w:val="00595EEB"/>
    <w:rsid w:val="005A1055"/>
    <w:rsid w:val="005A42E9"/>
    <w:rsid w:val="005A55CB"/>
    <w:rsid w:val="005A621E"/>
    <w:rsid w:val="005B1421"/>
    <w:rsid w:val="005B37EC"/>
    <w:rsid w:val="005B488E"/>
    <w:rsid w:val="005B6BC5"/>
    <w:rsid w:val="005B7159"/>
    <w:rsid w:val="005B7F37"/>
    <w:rsid w:val="005C327F"/>
    <w:rsid w:val="005C5DCC"/>
    <w:rsid w:val="005C61A1"/>
    <w:rsid w:val="005C6EBB"/>
    <w:rsid w:val="005C7E84"/>
    <w:rsid w:val="005C7F87"/>
    <w:rsid w:val="005D09FD"/>
    <w:rsid w:val="005D2105"/>
    <w:rsid w:val="005D27F2"/>
    <w:rsid w:val="005E0FAD"/>
    <w:rsid w:val="005E3F3F"/>
    <w:rsid w:val="005E50C8"/>
    <w:rsid w:val="005E540A"/>
    <w:rsid w:val="005F25F7"/>
    <w:rsid w:val="005F5441"/>
    <w:rsid w:val="005F58D1"/>
    <w:rsid w:val="005F5BEC"/>
    <w:rsid w:val="0060039B"/>
    <w:rsid w:val="00602E54"/>
    <w:rsid w:val="0060505E"/>
    <w:rsid w:val="00605721"/>
    <w:rsid w:val="00606E4C"/>
    <w:rsid w:val="0060730C"/>
    <w:rsid w:val="00613354"/>
    <w:rsid w:val="00616BF4"/>
    <w:rsid w:val="0061728E"/>
    <w:rsid w:val="00617DF4"/>
    <w:rsid w:val="0062018E"/>
    <w:rsid w:val="00625CB7"/>
    <w:rsid w:val="006260C3"/>
    <w:rsid w:val="00626A45"/>
    <w:rsid w:val="0062771F"/>
    <w:rsid w:val="00631A9D"/>
    <w:rsid w:val="0063244E"/>
    <w:rsid w:val="00632D7D"/>
    <w:rsid w:val="00633E0A"/>
    <w:rsid w:val="0063456A"/>
    <w:rsid w:val="00634619"/>
    <w:rsid w:val="00634BA2"/>
    <w:rsid w:val="00637097"/>
    <w:rsid w:val="00637CC4"/>
    <w:rsid w:val="00640276"/>
    <w:rsid w:val="00641092"/>
    <w:rsid w:val="006412D4"/>
    <w:rsid w:val="00642548"/>
    <w:rsid w:val="006462B1"/>
    <w:rsid w:val="00647E5B"/>
    <w:rsid w:val="00650059"/>
    <w:rsid w:val="00650666"/>
    <w:rsid w:val="006523CB"/>
    <w:rsid w:val="00656A9C"/>
    <w:rsid w:val="006604A6"/>
    <w:rsid w:val="00660670"/>
    <w:rsid w:val="0066345C"/>
    <w:rsid w:val="006639E9"/>
    <w:rsid w:val="00664DCC"/>
    <w:rsid w:val="00664F37"/>
    <w:rsid w:val="00665C34"/>
    <w:rsid w:val="00665FC7"/>
    <w:rsid w:val="00666593"/>
    <w:rsid w:val="00672751"/>
    <w:rsid w:val="00673B65"/>
    <w:rsid w:val="00673C24"/>
    <w:rsid w:val="00673CD9"/>
    <w:rsid w:val="006745AF"/>
    <w:rsid w:val="00674B51"/>
    <w:rsid w:val="0067552B"/>
    <w:rsid w:val="00675863"/>
    <w:rsid w:val="00675B74"/>
    <w:rsid w:val="006779BD"/>
    <w:rsid w:val="00680600"/>
    <w:rsid w:val="00687350"/>
    <w:rsid w:val="0069083D"/>
    <w:rsid w:val="00690DEA"/>
    <w:rsid w:val="00692874"/>
    <w:rsid w:val="0069355D"/>
    <w:rsid w:val="00697ADF"/>
    <w:rsid w:val="006A0572"/>
    <w:rsid w:val="006A080D"/>
    <w:rsid w:val="006A1E9F"/>
    <w:rsid w:val="006A2EA2"/>
    <w:rsid w:val="006A51BF"/>
    <w:rsid w:val="006A52B4"/>
    <w:rsid w:val="006A596F"/>
    <w:rsid w:val="006A5E20"/>
    <w:rsid w:val="006A6399"/>
    <w:rsid w:val="006B1E3A"/>
    <w:rsid w:val="006B2A51"/>
    <w:rsid w:val="006C2309"/>
    <w:rsid w:val="006C7B10"/>
    <w:rsid w:val="006D0CBF"/>
    <w:rsid w:val="006D2C8D"/>
    <w:rsid w:val="006D4F57"/>
    <w:rsid w:val="006D50EC"/>
    <w:rsid w:val="006D6861"/>
    <w:rsid w:val="006D7679"/>
    <w:rsid w:val="006E16A6"/>
    <w:rsid w:val="006E1BB6"/>
    <w:rsid w:val="006E4BE3"/>
    <w:rsid w:val="006E7386"/>
    <w:rsid w:val="006F05D6"/>
    <w:rsid w:val="006F2636"/>
    <w:rsid w:val="00701642"/>
    <w:rsid w:val="00701EDB"/>
    <w:rsid w:val="00702DE4"/>
    <w:rsid w:val="00703BB1"/>
    <w:rsid w:val="00704F6A"/>
    <w:rsid w:val="0071104F"/>
    <w:rsid w:val="0071511E"/>
    <w:rsid w:val="00716BB2"/>
    <w:rsid w:val="0072045B"/>
    <w:rsid w:val="00721FB0"/>
    <w:rsid w:val="00723B3A"/>
    <w:rsid w:val="00725427"/>
    <w:rsid w:val="00727B15"/>
    <w:rsid w:val="00727FC4"/>
    <w:rsid w:val="00731424"/>
    <w:rsid w:val="00731456"/>
    <w:rsid w:val="00731FA0"/>
    <w:rsid w:val="007346CD"/>
    <w:rsid w:val="007350DF"/>
    <w:rsid w:val="0074141C"/>
    <w:rsid w:val="00744B15"/>
    <w:rsid w:val="00744B3F"/>
    <w:rsid w:val="00746EA7"/>
    <w:rsid w:val="00747EE3"/>
    <w:rsid w:val="00750564"/>
    <w:rsid w:val="007519B9"/>
    <w:rsid w:val="00766EEF"/>
    <w:rsid w:val="00766FCF"/>
    <w:rsid w:val="00770C38"/>
    <w:rsid w:val="00771BAB"/>
    <w:rsid w:val="007734F4"/>
    <w:rsid w:val="00773B06"/>
    <w:rsid w:val="00773D0E"/>
    <w:rsid w:val="00780442"/>
    <w:rsid w:val="0078132C"/>
    <w:rsid w:val="007826AB"/>
    <w:rsid w:val="00785BC1"/>
    <w:rsid w:val="007906A0"/>
    <w:rsid w:val="0079247B"/>
    <w:rsid w:val="00794AB2"/>
    <w:rsid w:val="00796D8C"/>
    <w:rsid w:val="00796FC6"/>
    <w:rsid w:val="007A035B"/>
    <w:rsid w:val="007A1F3C"/>
    <w:rsid w:val="007A21AC"/>
    <w:rsid w:val="007A43E5"/>
    <w:rsid w:val="007A4B16"/>
    <w:rsid w:val="007A59EC"/>
    <w:rsid w:val="007A5CED"/>
    <w:rsid w:val="007A6E94"/>
    <w:rsid w:val="007B5E2D"/>
    <w:rsid w:val="007B6BAA"/>
    <w:rsid w:val="007B7F7D"/>
    <w:rsid w:val="007C06A2"/>
    <w:rsid w:val="007C0C6E"/>
    <w:rsid w:val="007C24B8"/>
    <w:rsid w:val="007C5A3B"/>
    <w:rsid w:val="007D10E5"/>
    <w:rsid w:val="007D3F20"/>
    <w:rsid w:val="007D4693"/>
    <w:rsid w:val="007D4C71"/>
    <w:rsid w:val="007D69A8"/>
    <w:rsid w:val="007D6CD5"/>
    <w:rsid w:val="007D6E3A"/>
    <w:rsid w:val="007D7F5A"/>
    <w:rsid w:val="007E102F"/>
    <w:rsid w:val="007E1705"/>
    <w:rsid w:val="007E555D"/>
    <w:rsid w:val="007E5A49"/>
    <w:rsid w:val="007E634D"/>
    <w:rsid w:val="007F1BF3"/>
    <w:rsid w:val="007F1C0E"/>
    <w:rsid w:val="007F1C3A"/>
    <w:rsid w:val="007F45DE"/>
    <w:rsid w:val="007F6C46"/>
    <w:rsid w:val="00801701"/>
    <w:rsid w:val="00801FFB"/>
    <w:rsid w:val="008058B3"/>
    <w:rsid w:val="00806167"/>
    <w:rsid w:val="00812107"/>
    <w:rsid w:val="00812167"/>
    <w:rsid w:val="008126A6"/>
    <w:rsid w:val="008142E5"/>
    <w:rsid w:val="00814F97"/>
    <w:rsid w:val="00815093"/>
    <w:rsid w:val="00815FED"/>
    <w:rsid w:val="00821E5E"/>
    <w:rsid w:val="00822215"/>
    <w:rsid w:val="00835231"/>
    <w:rsid w:val="008377F5"/>
    <w:rsid w:val="0084033E"/>
    <w:rsid w:val="00840AD2"/>
    <w:rsid w:val="00845D0C"/>
    <w:rsid w:val="00850841"/>
    <w:rsid w:val="00851B5F"/>
    <w:rsid w:val="008525F7"/>
    <w:rsid w:val="00852B05"/>
    <w:rsid w:val="008539A2"/>
    <w:rsid w:val="0085472A"/>
    <w:rsid w:val="00854A4F"/>
    <w:rsid w:val="00856DFB"/>
    <w:rsid w:val="00861479"/>
    <w:rsid w:val="00862AA0"/>
    <w:rsid w:val="008632CC"/>
    <w:rsid w:val="00872E7D"/>
    <w:rsid w:val="00875770"/>
    <w:rsid w:val="008811A1"/>
    <w:rsid w:val="00885E9A"/>
    <w:rsid w:val="00893100"/>
    <w:rsid w:val="0089375B"/>
    <w:rsid w:val="008939B1"/>
    <w:rsid w:val="008948B3"/>
    <w:rsid w:val="00894A42"/>
    <w:rsid w:val="008A0BC3"/>
    <w:rsid w:val="008A0C60"/>
    <w:rsid w:val="008A3E75"/>
    <w:rsid w:val="008A5B72"/>
    <w:rsid w:val="008B2446"/>
    <w:rsid w:val="008B4425"/>
    <w:rsid w:val="008B4FE7"/>
    <w:rsid w:val="008B571B"/>
    <w:rsid w:val="008B5DA0"/>
    <w:rsid w:val="008C2078"/>
    <w:rsid w:val="008C379C"/>
    <w:rsid w:val="008C56C5"/>
    <w:rsid w:val="008C6C95"/>
    <w:rsid w:val="008C763F"/>
    <w:rsid w:val="008C7698"/>
    <w:rsid w:val="008C7FB6"/>
    <w:rsid w:val="008D1A16"/>
    <w:rsid w:val="008D34AB"/>
    <w:rsid w:val="008D5478"/>
    <w:rsid w:val="008D5BD0"/>
    <w:rsid w:val="008E2319"/>
    <w:rsid w:val="008E3051"/>
    <w:rsid w:val="008E6CBC"/>
    <w:rsid w:val="008F5CA8"/>
    <w:rsid w:val="008F6E40"/>
    <w:rsid w:val="009017B8"/>
    <w:rsid w:val="009049C9"/>
    <w:rsid w:val="00905315"/>
    <w:rsid w:val="00905EB6"/>
    <w:rsid w:val="00906C84"/>
    <w:rsid w:val="00907129"/>
    <w:rsid w:val="0090754E"/>
    <w:rsid w:val="0091041B"/>
    <w:rsid w:val="00912625"/>
    <w:rsid w:val="00916914"/>
    <w:rsid w:val="009256DF"/>
    <w:rsid w:val="00927D33"/>
    <w:rsid w:val="00930892"/>
    <w:rsid w:val="00933C23"/>
    <w:rsid w:val="009341AB"/>
    <w:rsid w:val="0093468C"/>
    <w:rsid w:val="00936FE1"/>
    <w:rsid w:val="00940CC7"/>
    <w:rsid w:val="0094467B"/>
    <w:rsid w:val="009456E9"/>
    <w:rsid w:val="00950CFD"/>
    <w:rsid w:val="009510BE"/>
    <w:rsid w:val="00952AEF"/>
    <w:rsid w:val="00952B10"/>
    <w:rsid w:val="00953260"/>
    <w:rsid w:val="00953E49"/>
    <w:rsid w:val="009563D1"/>
    <w:rsid w:val="0095707D"/>
    <w:rsid w:val="00961570"/>
    <w:rsid w:val="009627A2"/>
    <w:rsid w:val="009629D7"/>
    <w:rsid w:val="00963D38"/>
    <w:rsid w:val="0096698B"/>
    <w:rsid w:val="00967F8F"/>
    <w:rsid w:val="00973473"/>
    <w:rsid w:val="0097471C"/>
    <w:rsid w:val="0097732A"/>
    <w:rsid w:val="00977FE4"/>
    <w:rsid w:val="00980EB8"/>
    <w:rsid w:val="00982334"/>
    <w:rsid w:val="0098236B"/>
    <w:rsid w:val="00982D08"/>
    <w:rsid w:val="009831F6"/>
    <w:rsid w:val="00993637"/>
    <w:rsid w:val="009941B9"/>
    <w:rsid w:val="00997446"/>
    <w:rsid w:val="0099770A"/>
    <w:rsid w:val="009A1BC0"/>
    <w:rsid w:val="009A26B6"/>
    <w:rsid w:val="009A4612"/>
    <w:rsid w:val="009A4D3E"/>
    <w:rsid w:val="009A673A"/>
    <w:rsid w:val="009B0F84"/>
    <w:rsid w:val="009B3141"/>
    <w:rsid w:val="009B5414"/>
    <w:rsid w:val="009C0663"/>
    <w:rsid w:val="009C2BD0"/>
    <w:rsid w:val="009C4008"/>
    <w:rsid w:val="009C5A97"/>
    <w:rsid w:val="009C6B63"/>
    <w:rsid w:val="009D0659"/>
    <w:rsid w:val="009D113F"/>
    <w:rsid w:val="009D3870"/>
    <w:rsid w:val="009D3D8A"/>
    <w:rsid w:val="009D5111"/>
    <w:rsid w:val="009D5659"/>
    <w:rsid w:val="009D5E4A"/>
    <w:rsid w:val="009E0238"/>
    <w:rsid w:val="009E0F02"/>
    <w:rsid w:val="009E23EC"/>
    <w:rsid w:val="009E44DE"/>
    <w:rsid w:val="009F243B"/>
    <w:rsid w:val="009F681F"/>
    <w:rsid w:val="009F6E9A"/>
    <w:rsid w:val="00A00D6E"/>
    <w:rsid w:val="00A0143C"/>
    <w:rsid w:val="00A02840"/>
    <w:rsid w:val="00A04BFD"/>
    <w:rsid w:val="00A07CE0"/>
    <w:rsid w:val="00A1065F"/>
    <w:rsid w:val="00A10987"/>
    <w:rsid w:val="00A128BC"/>
    <w:rsid w:val="00A15C23"/>
    <w:rsid w:val="00A17A2D"/>
    <w:rsid w:val="00A203BB"/>
    <w:rsid w:val="00A20479"/>
    <w:rsid w:val="00A215B7"/>
    <w:rsid w:val="00A219B9"/>
    <w:rsid w:val="00A23175"/>
    <w:rsid w:val="00A23632"/>
    <w:rsid w:val="00A23DAB"/>
    <w:rsid w:val="00A25AED"/>
    <w:rsid w:val="00A26B1A"/>
    <w:rsid w:val="00A27890"/>
    <w:rsid w:val="00A30F5A"/>
    <w:rsid w:val="00A34356"/>
    <w:rsid w:val="00A351A2"/>
    <w:rsid w:val="00A357FE"/>
    <w:rsid w:val="00A4099D"/>
    <w:rsid w:val="00A416BF"/>
    <w:rsid w:val="00A4553C"/>
    <w:rsid w:val="00A51836"/>
    <w:rsid w:val="00A551AB"/>
    <w:rsid w:val="00A571B3"/>
    <w:rsid w:val="00A57F91"/>
    <w:rsid w:val="00A60F4D"/>
    <w:rsid w:val="00A61A27"/>
    <w:rsid w:val="00A67A8F"/>
    <w:rsid w:val="00A70FC5"/>
    <w:rsid w:val="00A71FFC"/>
    <w:rsid w:val="00A7386A"/>
    <w:rsid w:val="00A74F77"/>
    <w:rsid w:val="00A759A8"/>
    <w:rsid w:val="00A7730A"/>
    <w:rsid w:val="00A80D0C"/>
    <w:rsid w:val="00A97D52"/>
    <w:rsid w:val="00AA0635"/>
    <w:rsid w:val="00AA127A"/>
    <w:rsid w:val="00AA12FD"/>
    <w:rsid w:val="00AA279E"/>
    <w:rsid w:val="00AA2F3E"/>
    <w:rsid w:val="00AA3EA7"/>
    <w:rsid w:val="00AA6B6D"/>
    <w:rsid w:val="00AA77D0"/>
    <w:rsid w:val="00AA78CD"/>
    <w:rsid w:val="00AB1CDB"/>
    <w:rsid w:val="00AB51B8"/>
    <w:rsid w:val="00AC092F"/>
    <w:rsid w:val="00AC1996"/>
    <w:rsid w:val="00AC1B16"/>
    <w:rsid w:val="00AC205D"/>
    <w:rsid w:val="00AD15D8"/>
    <w:rsid w:val="00AD20F7"/>
    <w:rsid w:val="00AD5C07"/>
    <w:rsid w:val="00AD5E38"/>
    <w:rsid w:val="00AD6C34"/>
    <w:rsid w:val="00AD74CA"/>
    <w:rsid w:val="00AD7D98"/>
    <w:rsid w:val="00AE0BD9"/>
    <w:rsid w:val="00AE25EF"/>
    <w:rsid w:val="00AE667F"/>
    <w:rsid w:val="00AF1D3A"/>
    <w:rsid w:val="00AF3670"/>
    <w:rsid w:val="00AF36EE"/>
    <w:rsid w:val="00AF5DFB"/>
    <w:rsid w:val="00AF6EF2"/>
    <w:rsid w:val="00AF7506"/>
    <w:rsid w:val="00B024A3"/>
    <w:rsid w:val="00B02BFA"/>
    <w:rsid w:val="00B03392"/>
    <w:rsid w:val="00B03D13"/>
    <w:rsid w:val="00B04C23"/>
    <w:rsid w:val="00B05CF2"/>
    <w:rsid w:val="00B06958"/>
    <w:rsid w:val="00B078CB"/>
    <w:rsid w:val="00B138AF"/>
    <w:rsid w:val="00B13AC9"/>
    <w:rsid w:val="00B17957"/>
    <w:rsid w:val="00B17F75"/>
    <w:rsid w:val="00B21700"/>
    <w:rsid w:val="00B2226A"/>
    <w:rsid w:val="00B22C15"/>
    <w:rsid w:val="00B31186"/>
    <w:rsid w:val="00B32C5C"/>
    <w:rsid w:val="00B34D12"/>
    <w:rsid w:val="00B34DAE"/>
    <w:rsid w:val="00B37CE8"/>
    <w:rsid w:val="00B37E87"/>
    <w:rsid w:val="00B403D1"/>
    <w:rsid w:val="00B46A68"/>
    <w:rsid w:val="00B475D7"/>
    <w:rsid w:val="00B475F8"/>
    <w:rsid w:val="00B507EA"/>
    <w:rsid w:val="00B51F0D"/>
    <w:rsid w:val="00B54182"/>
    <w:rsid w:val="00B62DFD"/>
    <w:rsid w:val="00B630AF"/>
    <w:rsid w:val="00B643E6"/>
    <w:rsid w:val="00B65027"/>
    <w:rsid w:val="00B7076C"/>
    <w:rsid w:val="00B71404"/>
    <w:rsid w:val="00B72313"/>
    <w:rsid w:val="00B73E25"/>
    <w:rsid w:val="00B8114B"/>
    <w:rsid w:val="00B81499"/>
    <w:rsid w:val="00B81DEB"/>
    <w:rsid w:val="00B828A8"/>
    <w:rsid w:val="00B842EA"/>
    <w:rsid w:val="00B84EB1"/>
    <w:rsid w:val="00B87A06"/>
    <w:rsid w:val="00B917D1"/>
    <w:rsid w:val="00B91C46"/>
    <w:rsid w:val="00B941EF"/>
    <w:rsid w:val="00B95832"/>
    <w:rsid w:val="00B95D61"/>
    <w:rsid w:val="00BA3037"/>
    <w:rsid w:val="00BA343B"/>
    <w:rsid w:val="00BA42BE"/>
    <w:rsid w:val="00BA6B83"/>
    <w:rsid w:val="00BA700A"/>
    <w:rsid w:val="00BA7A4D"/>
    <w:rsid w:val="00BB0FBC"/>
    <w:rsid w:val="00BB1535"/>
    <w:rsid w:val="00BB2CB9"/>
    <w:rsid w:val="00BB4B29"/>
    <w:rsid w:val="00BB55C4"/>
    <w:rsid w:val="00BB6868"/>
    <w:rsid w:val="00BB73CE"/>
    <w:rsid w:val="00BC446D"/>
    <w:rsid w:val="00BC578C"/>
    <w:rsid w:val="00BC6455"/>
    <w:rsid w:val="00BD086E"/>
    <w:rsid w:val="00BD1687"/>
    <w:rsid w:val="00BD1EA3"/>
    <w:rsid w:val="00BD1F4E"/>
    <w:rsid w:val="00BD2780"/>
    <w:rsid w:val="00BD3CBD"/>
    <w:rsid w:val="00BD4F1B"/>
    <w:rsid w:val="00BD7E1B"/>
    <w:rsid w:val="00BD7F77"/>
    <w:rsid w:val="00BE084E"/>
    <w:rsid w:val="00BE3E80"/>
    <w:rsid w:val="00BE4D0B"/>
    <w:rsid w:val="00BE65D2"/>
    <w:rsid w:val="00BF0978"/>
    <w:rsid w:val="00BF12F4"/>
    <w:rsid w:val="00BF413D"/>
    <w:rsid w:val="00BF73F7"/>
    <w:rsid w:val="00BF7930"/>
    <w:rsid w:val="00C00B25"/>
    <w:rsid w:val="00C0553C"/>
    <w:rsid w:val="00C07CAA"/>
    <w:rsid w:val="00C102D6"/>
    <w:rsid w:val="00C141A3"/>
    <w:rsid w:val="00C16312"/>
    <w:rsid w:val="00C171A5"/>
    <w:rsid w:val="00C175AD"/>
    <w:rsid w:val="00C17F15"/>
    <w:rsid w:val="00C25A94"/>
    <w:rsid w:val="00C300C7"/>
    <w:rsid w:val="00C31239"/>
    <w:rsid w:val="00C34D79"/>
    <w:rsid w:val="00C35072"/>
    <w:rsid w:val="00C36499"/>
    <w:rsid w:val="00C36C62"/>
    <w:rsid w:val="00C37521"/>
    <w:rsid w:val="00C41162"/>
    <w:rsid w:val="00C4273A"/>
    <w:rsid w:val="00C47515"/>
    <w:rsid w:val="00C50F99"/>
    <w:rsid w:val="00C513C6"/>
    <w:rsid w:val="00C52233"/>
    <w:rsid w:val="00C54F6D"/>
    <w:rsid w:val="00C56480"/>
    <w:rsid w:val="00C64305"/>
    <w:rsid w:val="00C65BDD"/>
    <w:rsid w:val="00C71E7D"/>
    <w:rsid w:val="00C73BEC"/>
    <w:rsid w:val="00C82EE9"/>
    <w:rsid w:val="00C8685E"/>
    <w:rsid w:val="00C869F8"/>
    <w:rsid w:val="00C87C9E"/>
    <w:rsid w:val="00C90002"/>
    <w:rsid w:val="00C901BE"/>
    <w:rsid w:val="00C94D85"/>
    <w:rsid w:val="00C96561"/>
    <w:rsid w:val="00CA1A1B"/>
    <w:rsid w:val="00CA21C9"/>
    <w:rsid w:val="00CA50D6"/>
    <w:rsid w:val="00CA731E"/>
    <w:rsid w:val="00CB0A8A"/>
    <w:rsid w:val="00CB0E95"/>
    <w:rsid w:val="00CB1B54"/>
    <w:rsid w:val="00CB2F0C"/>
    <w:rsid w:val="00CB3819"/>
    <w:rsid w:val="00CB5060"/>
    <w:rsid w:val="00CC10A5"/>
    <w:rsid w:val="00CC2993"/>
    <w:rsid w:val="00CC4B5E"/>
    <w:rsid w:val="00CC6532"/>
    <w:rsid w:val="00CD0DAD"/>
    <w:rsid w:val="00CD0F03"/>
    <w:rsid w:val="00CD42B9"/>
    <w:rsid w:val="00CD6B04"/>
    <w:rsid w:val="00CD6F47"/>
    <w:rsid w:val="00CD7EBA"/>
    <w:rsid w:val="00CE3FA2"/>
    <w:rsid w:val="00CE42D5"/>
    <w:rsid w:val="00CE517D"/>
    <w:rsid w:val="00CF040D"/>
    <w:rsid w:val="00CF064C"/>
    <w:rsid w:val="00CF72B6"/>
    <w:rsid w:val="00D00537"/>
    <w:rsid w:val="00D03F3C"/>
    <w:rsid w:val="00D067AF"/>
    <w:rsid w:val="00D06B71"/>
    <w:rsid w:val="00D100CA"/>
    <w:rsid w:val="00D106F2"/>
    <w:rsid w:val="00D147C5"/>
    <w:rsid w:val="00D16CA8"/>
    <w:rsid w:val="00D200B5"/>
    <w:rsid w:val="00D23895"/>
    <w:rsid w:val="00D303B6"/>
    <w:rsid w:val="00D30460"/>
    <w:rsid w:val="00D30C52"/>
    <w:rsid w:val="00D32547"/>
    <w:rsid w:val="00D34E97"/>
    <w:rsid w:val="00D34F46"/>
    <w:rsid w:val="00D351A5"/>
    <w:rsid w:val="00D355DC"/>
    <w:rsid w:val="00D36FB6"/>
    <w:rsid w:val="00D46283"/>
    <w:rsid w:val="00D47D70"/>
    <w:rsid w:val="00D47DD8"/>
    <w:rsid w:val="00D515CE"/>
    <w:rsid w:val="00D5403B"/>
    <w:rsid w:val="00D576BA"/>
    <w:rsid w:val="00D57E59"/>
    <w:rsid w:val="00D57FD6"/>
    <w:rsid w:val="00D623CF"/>
    <w:rsid w:val="00D64E19"/>
    <w:rsid w:val="00D662FC"/>
    <w:rsid w:val="00D678CA"/>
    <w:rsid w:val="00D70588"/>
    <w:rsid w:val="00D72993"/>
    <w:rsid w:val="00D74363"/>
    <w:rsid w:val="00D75625"/>
    <w:rsid w:val="00D76397"/>
    <w:rsid w:val="00D81D9B"/>
    <w:rsid w:val="00D83941"/>
    <w:rsid w:val="00D8480C"/>
    <w:rsid w:val="00D92D7C"/>
    <w:rsid w:val="00D94592"/>
    <w:rsid w:val="00D94A46"/>
    <w:rsid w:val="00D96A13"/>
    <w:rsid w:val="00D975B7"/>
    <w:rsid w:val="00D97737"/>
    <w:rsid w:val="00DA35D4"/>
    <w:rsid w:val="00DA3EF6"/>
    <w:rsid w:val="00DA586B"/>
    <w:rsid w:val="00DB3105"/>
    <w:rsid w:val="00DB3808"/>
    <w:rsid w:val="00DC2CA4"/>
    <w:rsid w:val="00DC4A3D"/>
    <w:rsid w:val="00DC60B9"/>
    <w:rsid w:val="00DD13D4"/>
    <w:rsid w:val="00DD1529"/>
    <w:rsid w:val="00DD4268"/>
    <w:rsid w:val="00DD482E"/>
    <w:rsid w:val="00DD6C4F"/>
    <w:rsid w:val="00DD73EC"/>
    <w:rsid w:val="00DD7D84"/>
    <w:rsid w:val="00DE37C6"/>
    <w:rsid w:val="00DE783E"/>
    <w:rsid w:val="00DF00DF"/>
    <w:rsid w:val="00DF1936"/>
    <w:rsid w:val="00DF2E60"/>
    <w:rsid w:val="00DF7CE2"/>
    <w:rsid w:val="00DF7F07"/>
    <w:rsid w:val="00E0059F"/>
    <w:rsid w:val="00E02C9D"/>
    <w:rsid w:val="00E0323B"/>
    <w:rsid w:val="00E048BE"/>
    <w:rsid w:val="00E05D65"/>
    <w:rsid w:val="00E11B48"/>
    <w:rsid w:val="00E209E4"/>
    <w:rsid w:val="00E241B4"/>
    <w:rsid w:val="00E24708"/>
    <w:rsid w:val="00E24F63"/>
    <w:rsid w:val="00E2533D"/>
    <w:rsid w:val="00E269EA"/>
    <w:rsid w:val="00E27448"/>
    <w:rsid w:val="00E304BA"/>
    <w:rsid w:val="00E31FAC"/>
    <w:rsid w:val="00E33DBA"/>
    <w:rsid w:val="00E35630"/>
    <w:rsid w:val="00E366A7"/>
    <w:rsid w:val="00E378E6"/>
    <w:rsid w:val="00E45063"/>
    <w:rsid w:val="00E45F28"/>
    <w:rsid w:val="00E47267"/>
    <w:rsid w:val="00E51BD5"/>
    <w:rsid w:val="00E532A9"/>
    <w:rsid w:val="00E63B3F"/>
    <w:rsid w:val="00E65BD9"/>
    <w:rsid w:val="00E66A0E"/>
    <w:rsid w:val="00E70A82"/>
    <w:rsid w:val="00E71C33"/>
    <w:rsid w:val="00E7433E"/>
    <w:rsid w:val="00E779EB"/>
    <w:rsid w:val="00E80C97"/>
    <w:rsid w:val="00E80D97"/>
    <w:rsid w:val="00E840A6"/>
    <w:rsid w:val="00E843A5"/>
    <w:rsid w:val="00E8776C"/>
    <w:rsid w:val="00E90C6B"/>
    <w:rsid w:val="00E9295E"/>
    <w:rsid w:val="00E94E30"/>
    <w:rsid w:val="00E94E91"/>
    <w:rsid w:val="00E95B3F"/>
    <w:rsid w:val="00E97706"/>
    <w:rsid w:val="00E9776F"/>
    <w:rsid w:val="00EA1779"/>
    <w:rsid w:val="00EA1A7C"/>
    <w:rsid w:val="00EA23BB"/>
    <w:rsid w:val="00EA3460"/>
    <w:rsid w:val="00EA3DB8"/>
    <w:rsid w:val="00EA5A5E"/>
    <w:rsid w:val="00EA5B7A"/>
    <w:rsid w:val="00EB2B48"/>
    <w:rsid w:val="00EB4195"/>
    <w:rsid w:val="00EB4324"/>
    <w:rsid w:val="00EB5548"/>
    <w:rsid w:val="00EB557B"/>
    <w:rsid w:val="00EB70FA"/>
    <w:rsid w:val="00EB7AFB"/>
    <w:rsid w:val="00EC077B"/>
    <w:rsid w:val="00EC09E4"/>
    <w:rsid w:val="00EC2591"/>
    <w:rsid w:val="00EC47DA"/>
    <w:rsid w:val="00ED0C3A"/>
    <w:rsid w:val="00ED2615"/>
    <w:rsid w:val="00ED7FCC"/>
    <w:rsid w:val="00EE02B7"/>
    <w:rsid w:val="00EE0F3F"/>
    <w:rsid w:val="00EE2420"/>
    <w:rsid w:val="00EE5FF6"/>
    <w:rsid w:val="00EE731E"/>
    <w:rsid w:val="00EE73F2"/>
    <w:rsid w:val="00EF2FB6"/>
    <w:rsid w:val="00F0124D"/>
    <w:rsid w:val="00F0314D"/>
    <w:rsid w:val="00F04A8E"/>
    <w:rsid w:val="00F04EE8"/>
    <w:rsid w:val="00F05D84"/>
    <w:rsid w:val="00F06352"/>
    <w:rsid w:val="00F0787A"/>
    <w:rsid w:val="00F14053"/>
    <w:rsid w:val="00F22616"/>
    <w:rsid w:val="00F2357D"/>
    <w:rsid w:val="00F245F6"/>
    <w:rsid w:val="00F247EB"/>
    <w:rsid w:val="00F30353"/>
    <w:rsid w:val="00F30F1D"/>
    <w:rsid w:val="00F33A11"/>
    <w:rsid w:val="00F349FF"/>
    <w:rsid w:val="00F41365"/>
    <w:rsid w:val="00F536AB"/>
    <w:rsid w:val="00F542F1"/>
    <w:rsid w:val="00F54953"/>
    <w:rsid w:val="00F56070"/>
    <w:rsid w:val="00F56DDD"/>
    <w:rsid w:val="00F56DF7"/>
    <w:rsid w:val="00F57680"/>
    <w:rsid w:val="00F57F76"/>
    <w:rsid w:val="00F617F0"/>
    <w:rsid w:val="00F6690C"/>
    <w:rsid w:val="00F6731F"/>
    <w:rsid w:val="00F6785C"/>
    <w:rsid w:val="00F73751"/>
    <w:rsid w:val="00F74BA5"/>
    <w:rsid w:val="00F800EC"/>
    <w:rsid w:val="00F81F14"/>
    <w:rsid w:val="00F82152"/>
    <w:rsid w:val="00F8406A"/>
    <w:rsid w:val="00F85797"/>
    <w:rsid w:val="00F90EE5"/>
    <w:rsid w:val="00F943A8"/>
    <w:rsid w:val="00F9468F"/>
    <w:rsid w:val="00F95DE7"/>
    <w:rsid w:val="00F96F42"/>
    <w:rsid w:val="00FA1528"/>
    <w:rsid w:val="00FA15E5"/>
    <w:rsid w:val="00FA1AC6"/>
    <w:rsid w:val="00FA1D4F"/>
    <w:rsid w:val="00FA2DE8"/>
    <w:rsid w:val="00FA409B"/>
    <w:rsid w:val="00FA4D3E"/>
    <w:rsid w:val="00FA5AD9"/>
    <w:rsid w:val="00FA65BD"/>
    <w:rsid w:val="00FB1DE0"/>
    <w:rsid w:val="00FB2A23"/>
    <w:rsid w:val="00FB57DB"/>
    <w:rsid w:val="00FB7782"/>
    <w:rsid w:val="00FC76BD"/>
    <w:rsid w:val="00FD3006"/>
    <w:rsid w:val="00FD42CC"/>
    <w:rsid w:val="00FD6099"/>
    <w:rsid w:val="00FD622D"/>
    <w:rsid w:val="00FE047C"/>
    <w:rsid w:val="00FE0E76"/>
    <w:rsid w:val="00FE1B5A"/>
    <w:rsid w:val="00FE25AE"/>
    <w:rsid w:val="00FE522A"/>
    <w:rsid w:val="00FF0F6E"/>
    <w:rsid w:val="00FF18FC"/>
    <w:rsid w:val="00FF39AA"/>
    <w:rsid w:val="00FF3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A1F4DDE3-5581-44F0-A995-F44E70FD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0"/>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2313"/>
    <w:pPr>
      <w:spacing w:before="40" w:after="20"/>
    </w:pPr>
    <w:rPr>
      <w:rFonts w:ascii="Calibri" w:hAnsi="Calibri"/>
    </w:rPr>
  </w:style>
  <w:style w:type="paragraph" w:styleId="berschrift1">
    <w:name w:val="heading 1"/>
    <w:basedOn w:val="Standard"/>
    <w:next w:val="Standard"/>
    <w:autoRedefine/>
    <w:rsid w:val="00257C7E"/>
    <w:pPr>
      <w:keepNext/>
      <w:spacing w:before="240" w:after="60"/>
      <w:outlineLvl w:val="0"/>
    </w:pPr>
    <w:rPr>
      <w:rFonts w:cs="Arial"/>
      <w:b/>
      <w:bCs/>
      <w:kern w:val="32"/>
      <w:sz w:val="28"/>
      <w:szCs w:val="32"/>
    </w:rPr>
  </w:style>
  <w:style w:type="paragraph" w:styleId="berschrift2">
    <w:name w:val="heading 2"/>
    <w:basedOn w:val="Standard"/>
    <w:next w:val="Standard"/>
    <w:autoRedefine/>
    <w:rsid w:val="000B5CB5"/>
    <w:pPr>
      <w:keepNext/>
      <w:spacing w:before="120" w:after="60"/>
      <w:ind w:left="851" w:hanging="851"/>
      <w:outlineLvl w:val="1"/>
    </w:pPr>
    <w:rPr>
      <w:rFonts w:cs="Arial"/>
      <w:b/>
      <w:bCs/>
      <w:iCs/>
      <w:sz w:val="24"/>
      <w:szCs w:val="24"/>
    </w:rPr>
  </w:style>
  <w:style w:type="paragraph" w:styleId="berschrift3">
    <w:name w:val="heading 3"/>
    <w:basedOn w:val="Standard"/>
    <w:next w:val="Standard"/>
    <w:autoRedefine/>
    <w:rsid w:val="00CD0DAD"/>
    <w:pPr>
      <w:keepNext/>
      <w:spacing w:after="40" w:line="200" w:lineRule="exact"/>
      <w:outlineLvl w:val="2"/>
    </w:pPr>
    <w:rPr>
      <w:rFonts w:cs="Arial"/>
      <w:b/>
      <w:bCs/>
      <w:sz w:val="18"/>
      <w:szCs w:val="18"/>
    </w:rPr>
  </w:style>
  <w:style w:type="paragraph" w:styleId="berschrift4">
    <w:name w:val="heading 4"/>
    <w:basedOn w:val="Standard"/>
    <w:next w:val="Standard"/>
    <w:rsid w:val="004748F5"/>
    <w:pPr>
      <w:keepNext/>
      <w:spacing w:before="20"/>
      <w:outlineLvl w:val="3"/>
    </w:pPr>
    <w:rPr>
      <w:b/>
      <w:bCs/>
    </w:rPr>
  </w:style>
  <w:style w:type="paragraph" w:styleId="berschrift5">
    <w:name w:val="heading 5"/>
    <w:basedOn w:val="Standard"/>
    <w:next w:val="Standard"/>
    <w:rsid w:val="0084033E"/>
    <w:pPr>
      <w:spacing w:before="240" w:after="60"/>
      <w:outlineLvl w:val="4"/>
    </w:pPr>
    <w:rPr>
      <w:b/>
      <w:bCs/>
      <w:i/>
      <w:iCs/>
      <w:sz w:val="26"/>
      <w:szCs w:val="26"/>
    </w:rPr>
  </w:style>
  <w:style w:type="paragraph" w:styleId="berschrift9">
    <w:name w:val="heading 9"/>
    <w:basedOn w:val="Standard"/>
    <w:next w:val="Standard"/>
    <w:rsid w:val="00E63B3F"/>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lang w:val="x-none" w:eastAsia="x-none"/>
    </w:r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link w:val="FunotentextZchn"/>
    <w:uiPriority w:val="99"/>
    <w:semiHidden/>
    <w:rsid w:val="004748F5"/>
  </w:style>
  <w:style w:type="character" w:styleId="Funotenzeichen">
    <w:name w:val="footnote reference"/>
    <w:uiPriority w:val="99"/>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773D0E"/>
    <w:rPr>
      <w:rFonts w:ascii="Arial" w:hAnsi="Arial"/>
    </w:rPr>
  </w:style>
  <w:style w:type="paragraph" w:styleId="Titel">
    <w:name w:val="Title"/>
    <w:basedOn w:val="Standard"/>
    <w:link w:val="TitelZchn"/>
    <w:rsid w:val="00773D0E"/>
    <w:pPr>
      <w:spacing w:before="360" w:after="60"/>
      <w:jc w:val="center"/>
    </w:pPr>
    <w:rPr>
      <w:b/>
      <w:sz w:val="32"/>
      <w:lang w:val="x-none" w:eastAsia="x-none"/>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paragraph" w:styleId="Endnotentext">
    <w:name w:val="endnote text"/>
    <w:basedOn w:val="Standard"/>
    <w:link w:val="EndnotentextZchn"/>
    <w:uiPriority w:val="99"/>
    <w:semiHidden/>
    <w:unhideWhenUsed/>
    <w:rsid w:val="00E94E30"/>
    <w:rPr>
      <w:lang w:val="x-none" w:eastAsia="x-none"/>
    </w:rPr>
  </w:style>
  <w:style w:type="character" w:customStyle="1" w:styleId="EndnotentextZchn">
    <w:name w:val="Endnotentext Zchn"/>
    <w:link w:val="Endnotentext"/>
    <w:uiPriority w:val="99"/>
    <w:semiHidden/>
    <w:rsid w:val="00E94E30"/>
    <w:rPr>
      <w:rFonts w:ascii="Calibri" w:hAnsi="Calibri"/>
    </w:rPr>
  </w:style>
  <w:style w:type="character" w:styleId="Endnotenzeichen">
    <w:name w:val="endnote reference"/>
    <w:uiPriority w:val="99"/>
    <w:semiHidden/>
    <w:unhideWhenUsed/>
    <w:rsid w:val="00E94E30"/>
    <w:rPr>
      <w:vertAlign w:val="superscript"/>
    </w:rPr>
  </w:style>
  <w:style w:type="paragraph" w:customStyle="1" w:styleId="Aufzhlung">
    <w:name w:val="Aufzählung"/>
    <w:basedOn w:val="Standard"/>
    <w:qFormat/>
    <w:rsid w:val="001041F6"/>
    <w:pPr>
      <w:numPr>
        <w:numId w:val="2"/>
      </w:numPr>
      <w:spacing w:after="40"/>
    </w:pPr>
    <w:rPr>
      <w:szCs w:val="22"/>
    </w:rPr>
  </w:style>
  <w:style w:type="paragraph" w:customStyle="1" w:styleId="1">
    <w:name w:val="Ü1"/>
    <w:basedOn w:val="Standard"/>
    <w:next w:val="Standard"/>
    <w:rsid w:val="00D94592"/>
    <w:pPr>
      <w:ind w:left="781" w:hanging="781"/>
    </w:pPr>
    <w:rPr>
      <w:rFonts w:cs="Arial"/>
      <w:b/>
      <w:szCs w:val="22"/>
    </w:rPr>
  </w:style>
  <w:style w:type="paragraph" w:customStyle="1" w:styleId="2">
    <w:name w:val="Ü2"/>
    <w:basedOn w:val="1"/>
    <w:next w:val="Standard"/>
    <w:rsid w:val="00D94592"/>
  </w:style>
  <w:style w:type="paragraph" w:styleId="Verzeichnis2">
    <w:name w:val="toc 2"/>
    <w:basedOn w:val="Standard"/>
    <w:next w:val="Standard"/>
    <w:autoRedefine/>
    <w:uiPriority w:val="39"/>
    <w:unhideWhenUsed/>
    <w:rsid w:val="00822215"/>
    <w:pPr>
      <w:tabs>
        <w:tab w:val="left" w:pos="880"/>
        <w:tab w:val="right" w:leader="dot" w:pos="9911"/>
      </w:tabs>
      <w:ind w:left="221"/>
    </w:pPr>
  </w:style>
  <w:style w:type="paragraph" w:styleId="Verzeichnis1">
    <w:name w:val="toc 1"/>
    <w:basedOn w:val="Standard"/>
    <w:next w:val="Standard"/>
    <w:autoRedefine/>
    <w:uiPriority w:val="39"/>
    <w:unhideWhenUsed/>
    <w:rsid w:val="003516E3"/>
    <w:pPr>
      <w:tabs>
        <w:tab w:val="left" w:pos="440"/>
        <w:tab w:val="right" w:leader="dot" w:pos="9911"/>
      </w:tabs>
      <w:spacing w:before="60" w:after="60"/>
    </w:pPr>
  </w:style>
  <w:style w:type="character" w:styleId="Hyperlink">
    <w:name w:val="Hyperlink"/>
    <w:uiPriority w:val="99"/>
    <w:unhideWhenUsed/>
    <w:rsid w:val="003A18A2"/>
    <w:rPr>
      <w:color w:val="0000FF"/>
      <w:u w:val="single"/>
    </w:rPr>
  </w:style>
  <w:style w:type="paragraph" w:customStyle="1" w:styleId="Nummerierung">
    <w:name w:val="Nummerierung"/>
    <w:basedOn w:val="Standard"/>
    <w:next w:val="Aufzhlung"/>
    <w:qFormat/>
    <w:rsid w:val="001041F6"/>
    <w:pPr>
      <w:numPr>
        <w:numId w:val="3"/>
      </w:numPr>
      <w:ind w:left="454" w:hanging="284"/>
    </w:pPr>
  </w:style>
  <w:style w:type="paragraph" w:customStyle="1" w:styleId="FVAktenzeichen">
    <w:name w:val="FV_Aktenzeichen"/>
    <w:basedOn w:val="Standard"/>
    <w:next w:val="Standard"/>
    <w:rsid w:val="00E366A7"/>
    <w:pPr>
      <w:overflowPunct w:val="0"/>
      <w:autoSpaceDE w:val="0"/>
      <w:autoSpaceDN w:val="0"/>
      <w:adjustRightInd w:val="0"/>
      <w:spacing w:after="40"/>
      <w:textAlignment w:val="baseline"/>
    </w:pPr>
    <w:rPr>
      <w:b/>
    </w:rPr>
  </w:style>
  <w:style w:type="paragraph" w:customStyle="1" w:styleId="FVBegutachter">
    <w:name w:val="FV_Begutachter"/>
    <w:basedOn w:val="Standard"/>
    <w:next w:val="Standard"/>
    <w:rsid w:val="00E366A7"/>
    <w:pPr>
      <w:overflowPunct w:val="0"/>
      <w:autoSpaceDE w:val="0"/>
      <w:autoSpaceDN w:val="0"/>
      <w:adjustRightInd w:val="0"/>
      <w:spacing w:after="40"/>
      <w:textAlignment w:val="baseline"/>
    </w:pPr>
    <w:rPr>
      <w:b/>
      <w:bCs/>
    </w:rPr>
  </w:style>
  <w:style w:type="paragraph" w:customStyle="1" w:styleId="FVVNR">
    <w:name w:val="FV_VNR"/>
    <w:basedOn w:val="Standard"/>
    <w:rsid w:val="00BA6B83"/>
    <w:pPr>
      <w:overflowPunct w:val="0"/>
      <w:autoSpaceDE w:val="0"/>
      <w:autoSpaceDN w:val="0"/>
      <w:adjustRightInd w:val="0"/>
      <w:spacing w:after="40"/>
      <w:textAlignment w:val="baseline"/>
    </w:pPr>
    <w:rPr>
      <w:b/>
      <w:sz w:val="18"/>
    </w:rPr>
  </w:style>
  <w:style w:type="paragraph" w:customStyle="1" w:styleId="FVPhase">
    <w:name w:val="FV_Phase"/>
    <w:basedOn w:val="FVVNR"/>
    <w:rsid w:val="00BA6B83"/>
  </w:style>
  <w:style w:type="paragraph" w:customStyle="1" w:styleId="FVPhase-2">
    <w:name w:val="FV_Phase-2"/>
    <w:basedOn w:val="FVVNR"/>
    <w:next w:val="Standard"/>
    <w:rsid w:val="00BA6B83"/>
    <w:rPr>
      <w:sz w:val="20"/>
    </w:rPr>
  </w:style>
  <w:style w:type="paragraph" w:customStyle="1" w:styleId="Default">
    <w:name w:val="Default"/>
    <w:rsid w:val="007F1C0E"/>
    <w:pPr>
      <w:autoSpaceDE w:val="0"/>
      <w:autoSpaceDN w:val="0"/>
      <w:adjustRightInd w:val="0"/>
    </w:pPr>
    <w:rPr>
      <w:rFonts w:ascii="Cambria" w:hAnsi="Cambria" w:cs="Cambria"/>
      <w:color w:val="000000"/>
      <w:sz w:val="24"/>
      <w:szCs w:val="24"/>
    </w:rPr>
  </w:style>
  <w:style w:type="character" w:customStyle="1" w:styleId="FunotentextZchn">
    <w:name w:val="Fußnotentext Zchn"/>
    <w:link w:val="Funotentext"/>
    <w:uiPriority w:val="99"/>
    <w:semiHidden/>
    <w:rsid w:val="00B37E87"/>
    <w:rPr>
      <w:rFonts w:ascii="Calibri" w:hAnsi="Calibri"/>
    </w:rPr>
  </w:style>
  <w:style w:type="table" w:styleId="Tabellenraster">
    <w:name w:val="Table Grid"/>
    <w:basedOn w:val="NormaleTabelle"/>
    <w:uiPriority w:val="59"/>
    <w:rsid w:val="00B37E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027B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3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3B01B3993342FFA5D8A1DCC861DB1E"/>
        <w:category>
          <w:name w:val="Allgemein"/>
          <w:gallery w:val="placeholder"/>
        </w:category>
        <w:types>
          <w:type w:val="bbPlcHdr"/>
        </w:types>
        <w:behaviors>
          <w:behavior w:val="content"/>
        </w:behaviors>
        <w:guid w:val="{9617C12C-2014-4096-B598-38E77366D836}"/>
      </w:docPartPr>
      <w:docPartBody>
        <w:p w:rsidR="00FB5407" w:rsidRDefault="00C932C7" w:rsidP="00C932C7">
          <w:pPr>
            <w:pStyle w:val="763B01B3993342FFA5D8A1DCC861DB1E"/>
          </w:pPr>
          <w:r>
            <w:rPr>
              <w:rStyle w:val="Platzhaltertext"/>
            </w:rPr>
            <w:t>Bitte 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C7"/>
    <w:rsid w:val="00755BBC"/>
    <w:rsid w:val="009F24D2"/>
    <w:rsid w:val="00BC7375"/>
    <w:rsid w:val="00C932C7"/>
    <w:rsid w:val="00C96D66"/>
    <w:rsid w:val="00FB5407"/>
    <w:rsid w:val="00FF70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C96D66"/>
    <w:rPr>
      <w:color w:val="808080"/>
    </w:rPr>
  </w:style>
  <w:style w:type="paragraph" w:customStyle="1" w:styleId="763B01B3993342FFA5D8A1DCC861DB1E">
    <w:name w:val="763B01B3993342FFA5D8A1DCC861DB1E"/>
    <w:rsid w:val="00C932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B7826-3C59-43D4-BB92-B309B6594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7172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Checkliste zur DIN EN ISO/IEC 17025</vt:lpstr>
    </vt:vector>
  </TitlesOfParts>
  <Company>Bundesministerium für Wirtschaft und Technologie</Company>
  <LinksUpToDate>false</LinksUpToDate>
  <CharactersWithSpaces>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subject/>
  <dc:creator>DAkkS</dc:creator>
  <cp:keywords/>
  <dc:description/>
  <cp:lastModifiedBy>Johannsen, Juliane</cp:lastModifiedBy>
  <cp:revision>14</cp:revision>
  <cp:lastPrinted>2017-02-02T07:41:00Z</cp:lastPrinted>
  <dcterms:created xsi:type="dcterms:W3CDTF">2021-06-02T06:53:00Z</dcterms:created>
  <dcterms:modified xsi:type="dcterms:W3CDTF">2021-11-24T10:57:00Z</dcterms:modified>
</cp:coreProperties>
</file>