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66" w:rsidRPr="00B272E8" w:rsidRDefault="002D2666">
      <w:pPr>
        <w:rPr>
          <w:sz w:val="2"/>
          <w:szCs w:val="2"/>
        </w:rPr>
      </w:pPr>
      <w:bookmarkStart w:id="0" w:name="_Toc50777117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8"/>
        <w:gridCol w:w="927"/>
        <w:gridCol w:w="43"/>
        <w:gridCol w:w="895"/>
        <w:gridCol w:w="2904"/>
        <w:gridCol w:w="1229"/>
        <w:gridCol w:w="630"/>
        <w:gridCol w:w="1382"/>
        <w:gridCol w:w="8"/>
        <w:gridCol w:w="5509"/>
      </w:tblGrid>
      <w:tr w:rsidR="00CA5AD5" w:rsidRPr="00732697" w:rsidTr="00ED78C0">
        <w:trPr>
          <w:cantSplit/>
          <w:tblHeader/>
        </w:trPr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AD5" w:rsidRPr="007B21CA" w:rsidRDefault="00CA5AD5" w:rsidP="007F5099">
            <w:pPr>
              <w:rPr>
                <w:b/>
                <w:bCs/>
                <w:sz w:val="20"/>
              </w:rPr>
            </w:pPr>
            <w:r w:rsidRPr="007B21CA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des Begutachters:</w:t>
            </w:r>
            <w:r w:rsidRPr="007B21CA">
              <w:rPr>
                <w:b/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AD5" w:rsidRPr="007B21CA" w:rsidRDefault="00CA5AD5" w:rsidP="007F5099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AD5" w:rsidRPr="007B21CA" w:rsidRDefault="00CA5AD5" w:rsidP="007F5099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52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5AD5" w:rsidRPr="00882469" w:rsidRDefault="00CA5AD5" w:rsidP="00ED78C0">
            <w:pPr>
              <w:rPr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="00C71ABC" w:rsidRPr="00C71ABC">
              <w:rPr>
                <w:sz w:val="18"/>
                <w:szCs w:val="18"/>
              </w:rPr>
              <w:t>Akademischer Abschluss</w:t>
            </w:r>
            <w:r w:rsidR="00C71ABC">
              <w:rPr>
                <w:sz w:val="18"/>
                <w:szCs w:val="18"/>
              </w:rPr>
              <w:t>,</w:t>
            </w:r>
            <w:r w:rsidR="00C71ABC" w:rsidRPr="00C71ABC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CA5AD5" w:rsidRPr="00732697" w:rsidTr="00ED78C0">
        <w:trPr>
          <w:cantSplit/>
          <w:trHeight w:val="205"/>
          <w:tblHeader/>
        </w:trPr>
        <w:tc>
          <w:tcPr>
            <w:tcW w:w="29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AD5" w:rsidRPr="00441D49" w:rsidRDefault="00CA5AD5" w:rsidP="00882469">
            <w:pPr>
              <w:rPr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r w:rsidRPr="00441D49">
              <w:rPr>
                <w:sz w:val="20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AD5" w:rsidRPr="007B21CA" w:rsidRDefault="00CA5AD5" w:rsidP="00882469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r w:rsidRPr="00441D49">
              <w:rPr>
                <w:sz w:val="20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AD5" w:rsidRPr="007B21CA" w:rsidRDefault="00CA5AD5" w:rsidP="00882469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441D49">
              <w:rPr>
                <w:sz w:val="20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529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5AD5" w:rsidRPr="00732697" w:rsidRDefault="00CA5AD5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A32341" w:rsidRPr="007F5099" w:rsidTr="00ED78C0">
        <w:trPr>
          <w:cantSplit/>
          <w:tblHeader/>
        </w:trPr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41" w:rsidRPr="007F5099" w:rsidRDefault="00A32341" w:rsidP="00882469">
            <w:pPr>
              <w:ind w:left="27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126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41" w:rsidRPr="007F5099" w:rsidRDefault="00A32341" w:rsidP="00882469">
            <w:pPr>
              <w:ind w:left="27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</w:tr>
      <w:tr w:rsidR="00A32341" w:rsidRPr="00732697" w:rsidTr="00ED78C0">
        <w:trPr>
          <w:cantSplit/>
          <w:tblHeader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41" w:rsidRPr="00732697" w:rsidRDefault="00A32341" w:rsidP="00882469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41" w:rsidRPr="00732697" w:rsidRDefault="00EF09E2" w:rsidP="00EF09E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Prüfarten</w:t>
            </w:r>
          </w:p>
        </w:tc>
        <w:tc>
          <w:tcPr>
            <w:tcW w:w="56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41" w:rsidRPr="00E3068B" w:rsidRDefault="00A32341" w:rsidP="008824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Prüfverfahren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41" w:rsidRPr="00AE1FAA" w:rsidRDefault="00580077" w:rsidP="00ED78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1FAA">
              <w:rPr>
                <w:rFonts w:asciiTheme="minorHAnsi" w:hAnsiTheme="minorHAnsi"/>
                <w:b/>
                <w:sz w:val="18"/>
                <w:szCs w:val="18"/>
              </w:rPr>
              <w:t>Zutreffenden Bereich</w:t>
            </w:r>
            <w:r w:rsidR="000F130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AE1FAA">
              <w:rPr>
                <w:rFonts w:asciiTheme="minorHAnsi" w:hAnsiTheme="minorHAnsi"/>
                <w:b/>
                <w:sz w:val="18"/>
                <w:szCs w:val="18"/>
              </w:rPr>
              <w:t>ankreuzen</w:t>
            </w:r>
          </w:p>
        </w:tc>
        <w:tc>
          <w:tcPr>
            <w:tcW w:w="5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41" w:rsidRPr="00732697" w:rsidRDefault="00441D49" w:rsidP="00441D49">
            <w:pPr>
              <w:ind w:left="1522" w:hanging="1522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="00A32341" w:rsidRPr="00732697">
              <w:rPr>
                <w:rFonts w:asciiTheme="minorHAnsi" w:hAnsiTheme="minorHAnsi"/>
                <w:b/>
                <w:sz w:val="20"/>
              </w:rPr>
              <w:t>(</w:t>
            </w:r>
            <w:r w:rsidR="00913898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="00A32341" w:rsidRPr="00732697">
              <w:rPr>
                <w:rFonts w:asciiTheme="minorHAnsi" w:hAnsiTheme="minorHAnsi"/>
                <w:b/>
                <w:sz w:val="20"/>
              </w:rPr>
              <w:t>Berufserfahrung, Tätigkeiten, Schulungen, sonst</w:t>
            </w:r>
            <w:r w:rsidR="00A32341">
              <w:rPr>
                <w:rFonts w:asciiTheme="minorHAnsi" w:hAnsiTheme="minorHAnsi"/>
                <w:b/>
                <w:sz w:val="20"/>
              </w:rPr>
              <w:t>ige</w:t>
            </w:r>
            <w:r w:rsidR="00A32341" w:rsidRPr="00732697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794BCE" w:rsidRPr="00732697" w:rsidTr="00ED78C0">
        <w:trPr>
          <w:cantSplit/>
          <w:tblHeader/>
        </w:trPr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BCE" w:rsidRPr="00732697" w:rsidRDefault="00794BCE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BCE" w:rsidRPr="00732697" w:rsidRDefault="00794BCE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6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BCE" w:rsidRPr="00C83FCE" w:rsidRDefault="00794BCE" w:rsidP="00882469">
            <w:pPr>
              <w:jc w:val="center"/>
              <w:rPr>
                <w:rFonts w:cs="Times New Roman"/>
                <w:b/>
                <w:sz w:val="20"/>
                <w:highlight w:val="yellow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94BCE" w:rsidRPr="00AE1FAA" w:rsidRDefault="00794BCE" w:rsidP="00882469">
            <w:pPr>
              <w:jc w:val="center"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AE1FAA">
              <w:rPr>
                <w:rFonts w:asciiTheme="minorHAnsi" w:hAnsiTheme="minorHAnsi"/>
                <w:b/>
                <w:sz w:val="18"/>
                <w:szCs w:val="18"/>
              </w:rPr>
              <w:t>BB</w:t>
            </w:r>
          </w:p>
        </w:tc>
        <w:tc>
          <w:tcPr>
            <w:tcW w:w="5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94BCE" w:rsidRPr="00732697" w:rsidRDefault="00794BCE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EF09E2" w:rsidRPr="00AE1FAA" w:rsidTr="00ED78C0">
        <w:trPr>
          <w:cantSplit/>
        </w:trPr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9E2" w:rsidRPr="00441D49" w:rsidRDefault="00EF09E2" w:rsidP="00ED78C0">
            <w:pPr>
              <w:keepNext/>
              <w:rPr>
                <w:rFonts w:asciiTheme="minorHAnsi" w:hAnsiTheme="minorHAnsi" w:cstheme="minorHAnsi"/>
                <w:b/>
                <w:sz w:val="20"/>
              </w:rPr>
            </w:pPr>
            <w:r w:rsidRPr="00A556F9">
              <w:rPr>
                <w:rFonts w:asciiTheme="minorHAnsi" w:hAnsiTheme="minorHAnsi" w:cstheme="minorHAnsi"/>
                <w:b/>
                <w:sz w:val="20"/>
              </w:rPr>
              <w:t>Flüssige Proben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9E2" w:rsidRPr="00441D49" w:rsidRDefault="00EF09E2" w:rsidP="00ED78C0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E2" w:rsidRPr="00AE1FAA" w:rsidRDefault="00EF09E2" w:rsidP="00ED78C0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</w:tr>
      <w:tr w:rsidR="00794BCE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4BCE" w:rsidRPr="00AE1FAA" w:rsidRDefault="00794BCE" w:rsidP="00ED78C0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4BCE" w:rsidRPr="00AE1FAA" w:rsidRDefault="00794BCE" w:rsidP="00ED78C0">
            <w:pPr>
              <w:keepNext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color w:val="000000"/>
                <w:sz w:val="20"/>
              </w:rPr>
              <w:t>Entnahme-Methoden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CE" w:rsidRPr="00AE1FAA" w:rsidRDefault="00794BCE" w:rsidP="00ED78C0">
            <w:pPr>
              <w:keepNext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CE" w:rsidRPr="00AE1FAA" w:rsidRDefault="00794BCE" w:rsidP="00ED78C0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Blutentnahme (venös, arteriell, kapillär)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Entnahme von Abstrichen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Entnahme von Punktat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Entnahme von Speichel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Weitere (bitte aufführen)</w:t>
            </w:r>
          </w:p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94BCE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BCE" w:rsidRPr="00AE1FAA" w:rsidRDefault="00794BCE" w:rsidP="00ED78C0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4BCE" w:rsidRPr="00AE1FAA" w:rsidRDefault="00794BCE" w:rsidP="00ED78C0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Vorbereitungs-/ Konservierungsmethoden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CE" w:rsidRPr="00AE1FAA" w:rsidRDefault="00794BCE" w:rsidP="00ED78C0">
            <w:pPr>
              <w:keepNext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CE" w:rsidRPr="00AE1FAA" w:rsidRDefault="00794BCE" w:rsidP="00ED78C0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Aliquotierung gemäß in house Methode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Aufarbeitung von CSF, Punktate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DNA-Extraktion aus Körperflüssigkeiten gemäß Herstellerangaben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Einfrieren von Körperflüssigkeiten, in house Methode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 xml:space="preserve">Einfrieren von Zellen (z.B. Abstriche), in house Methode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Generierung von Zelllinien, in house Methode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Gewinnung von Buffy-Coat, in house Methode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 xml:space="preserve">Gewinnung von Plasma (plättchenarm, -reich und -frei), </w:t>
            </w:r>
            <w:r w:rsidR="00441D49">
              <w:rPr>
                <w:rFonts w:asciiTheme="minorHAnsi" w:hAnsiTheme="minorHAnsi" w:cstheme="minorHAnsi"/>
                <w:sz w:val="20"/>
              </w:rPr>
              <w:br/>
            </w:r>
            <w:r w:rsidRPr="00AE1FAA">
              <w:rPr>
                <w:rFonts w:asciiTheme="minorHAnsi" w:hAnsiTheme="minorHAnsi" w:cstheme="minorHAnsi"/>
                <w:sz w:val="20"/>
              </w:rPr>
              <w:t>in house Methode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Gewinnung von Serum, in house Methode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Gewinnung/Stabilisierung von Urin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 xml:space="preserve">Isolation von mononukleären Zellen (PBMCs, mNCs), </w:t>
            </w:r>
            <w:r w:rsidR="00441D49">
              <w:rPr>
                <w:rFonts w:asciiTheme="minorHAnsi" w:hAnsiTheme="minorHAnsi" w:cstheme="minorHAnsi"/>
                <w:sz w:val="20"/>
              </w:rPr>
              <w:br/>
            </w:r>
            <w:r w:rsidRPr="00AE1FAA">
              <w:rPr>
                <w:rFonts w:asciiTheme="minorHAnsi" w:hAnsiTheme="minorHAnsi" w:cstheme="minorHAnsi"/>
                <w:sz w:val="20"/>
              </w:rPr>
              <w:t>in house Methode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Isolierung von Zellen, in house Methode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Proteinisolation aus Körperflüssigkeiten gemäß Herstellerangaben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RNA-Extraktion aus Körperflüssigkeiten gemäß Herstellerangaben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Verarbeitung von venösem Vollblut zur Herstellung von genomischer DNA gemäß DIN EN ISO 20186-2 (Entwurf)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Verarbeitung von venösem Vollblut zur Herstellung von zellulärer RNA gemäß DIN EN ISO 20186-1 (Entwurf)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 xml:space="preserve">Verarbeitung von venösem Vollblut zur Herstellung von zirkulierender zellfreier DNA aus Plasma gemäß DIN EN ISO 20186-3 (Entwurf)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Weitere Prüfverfahren (bitte aufführen)</w:t>
            </w:r>
          </w:p>
          <w:p w:rsidR="00A556F9" w:rsidRPr="00AE1FAA" w:rsidRDefault="00A556F9" w:rsidP="00AE1FAA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94BCE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4BCE" w:rsidRPr="00AE1FAA" w:rsidRDefault="00794BCE" w:rsidP="00AE1FAA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4BCE" w:rsidRPr="00AE1FAA" w:rsidRDefault="00794BCE" w:rsidP="00AE1FAA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Methoden zur Prozesskontrolle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CE" w:rsidRPr="00AE1FAA" w:rsidRDefault="00794BCE" w:rsidP="00ED78C0">
            <w:pPr>
              <w:keepNext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CE" w:rsidRPr="00AE1FAA" w:rsidRDefault="00794BCE" w:rsidP="00AE1FAA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0F130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0F130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0F130F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Bestimmung der Zellviabilität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0F130F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0F130F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HIL-Index mittel Photometrie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Immunhistochemische Färbungen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0F130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0F130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0F130F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 xml:space="preserve">Monitoring von Prozesszeiten und Prozesskonditionen </w:t>
            </w:r>
            <w:r w:rsidR="00441D49">
              <w:rPr>
                <w:rFonts w:asciiTheme="minorHAnsi" w:hAnsiTheme="minorHAnsi" w:cstheme="minorHAnsi"/>
                <w:sz w:val="20"/>
              </w:rPr>
              <w:br/>
            </w:r>
            <w:r w:rsidRPr="00AE1FAA">
              <w:rPr>
                <w:rFonts w:asciiTheme="minorHAnsi" w:hAnsiTheme="minorHAnsi" w:cstheme="minorHAnsi"/>
                <w:sz w:val="20"/>
              </w:rPr>
              <w:t>(z.B. TTC, TTF)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0F130F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0F130F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Nukleinsäurebestimmung mittels PCR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Prä-/Post-Biobanking-Analytik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qPCR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Qualitätsbestimmung und Mengenbestimmung von Nukleinsäuren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Qualitätskontrollmarker z.B. Aminosäuren (Taurin)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Sichtkontrolle bei Probeneingang für Flüssigkeiten (Hämolyse, Lipämie, Ikterus)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Temperaturkontrolle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Volumenkontrolle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Weitere Prüfverfahren (bitte aufführen)</w:t>
            </w:r>
          </w:p>
          <w:p w:rsidR="00A556F9" w:rsidRPr="00AE1FAA" w:rsidRDefault="00A556F9" w:rsidP="00AE1FAA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5333A" w:rsidRPr="00AE1FAA" w:rsidTr="00ED78C0">
        <w:trPr>
          <w:cantSplit/>
        </w:trPr>
        <w:tc>
          <w:tcPr>
            <w:tcW w:w="90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33A" w:rsidRPr="00A556F9" w:rsidRDefault="0095333A" w:rsidP="00AE1FAA">
            <w:pPr>
              <w:keepNext/>
              <w:rPr>
                <w:rFonts w:asciiTheme="minorHAnsi" w:hAnsiTheme="minorHAnsi" w:cstheme="minorHAnsi"/>
                <w:b/>
                <w:sz w:val="20"/>
              </w:rPr>
            </w:pPr>
            <w:r w:rsidRPr="00A556F9">
              <w:rPr>
                <w:rFonts w:asciiTheme="minorHAnsi" w:hAnsiTheme="minorHAnsi" w:cstheme="minorHAnsi"/>
                <w:b/>
                <w:sz w:val="20"/>
              </w:rPr>
              <w:t>Gewebe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3A" w:rsidRPr="00AE1FAA" w:rsidRDefault="0095333A" w:rsidP="00AE1FAA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</w:tr>
      <w:tr w:rsidR="00794BCE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4BCE" w:rsidRPr="00AE1FAA" w:rsidRDefault="00794BCE" w:rsidP="00AE1FAA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4BCE" w:rsidRPr="00AE1FAA" w:rsidRDefault="00794BCE" w:rsidP="00AE1FAA">
            <w:pPr>
              <w:keepNext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color w:val="000000"/>
                <w:sz w:val="20"/>
              </w:rPr>
              <w:t>Entnahme-Methoden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CE" w:rsidRPr="00AE1FAA" w:rsidRDefault="00794BCE" w:rsidP="00ED78C0">
            <w:pPr>
              <w:keepNext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CE" w:rsidRPr="00AE1FAA" w:rsidRDefault="00794BCE" w:rsidP="00AE1FAA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94BCE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4BCE" w:rsidRPr="00AE1FAA" w:rsidRDefault="00794BCE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CE" w:rsidRPr="00AE1FAA" w:rsidRDefault="00794BCE" w:rsidP="00AE1FA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CE" w:rsidRPr="00AE1FAA" w:rsidRDefault="00794BCE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Weitere (bitte aufführen)</w:t>
            </w:r>
          </w:p>
          <w:p w:rsidR="00AE1FAA" w:rsidRPr="00AE1FAA" w:rsidRDefault="00AE1FAA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CE" w:rsidRPr="00AE1FAA" w:rsidRDefault="00794BCE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CE" w:rsidRPr="00AE1FAA" w:rsidRDefault="00794BCE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94BCE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BCE" w:rsidRPr="00AE1FAA" w:rsidRDefault="00794BCE" w:rsidP="00ED78C0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4BCE" w:rsidRPr="00AE1FAA" w:rsidRDefault="00794BCE" w:rsidP="00ED78C0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Vorbereitungs-/ Konservierungsmethoden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CE" w:rsidRPr="00AE1FAA" w:rsidRDefault="00794BCE" w:rsidP="00ED78C0">
            <w:pPr>
              <w:keepNext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CE" w:rsidRPr="00AE1FAA" w:rsidRDefault="00794BCE" w:rsidP="00ED78C0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Anfertigen von Gewebeschnitten, in house Methode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DNA-Extraktion aus FFPE-Gewebe gemäß Herstellerangaben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DNA-Extraktion aus gefrorenem Gewebe gemäß Herstellerangaben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Herstellung von Tissue-Microarrays, in house Methode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Proteinisolation aus FFPE-Gewebe gemäß Herstellerangaben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Proteinisolation aus gefrorenem Gewebe gemäß Herstellerangaben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 xml:space="preserve">RNA-Extraktion aus FFPE-Gewebe gemäß Herstellerangaben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RNA-Extraktion aus gefrorenem Gewebe gemäß Herstellerangaben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Stabilisierung von Gewebe zur RNA-Extraktion gemäß Herstellerangaben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 xml:space="preserve">Verarbeitung von FFPE-Gewebe zur Herstellung von DNA </w:t>
            </w:r>
            <w:r w:rsidR="00441D49">
              <w:rPr>
                <w:rFonts w:asciiTheme="minorHAnsi" w:hAnsiTheme="minorHAnsi" w:cstheme="minorHAnsi"/>
                <w:sz w:val="20"/>
              </w:rPr>
              <w:br/>
            </w:r>
            <w:r w:rsidRPr="00AE1FAA">
              <w:rPr>
                <w:rFonts w:asciiTheme="minorHAnsi" w:hAnsiTheme="minorHAnsi" w:cstheme="minorHAnsi"/>
                <w:sz w:val="20"/>
              </w:rPr>
              <w:t xml:space="preserve">gemäß DIN EN ISO 20166-3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 xml:space="preserve">Verarbeitung von FFPE-Gewebe zur Herstellung von Proteinen </w:t>
            </w:r>
            <w:r w:rsidR="00441D49">
              <w:rPr>
                <w:rFonts w:asciiTheme="minorHAnsi" w:hAnsiTheme="minorHAnsi" w:cstheme="minorHAnsi"/>
                <w:sz w:val="20"/>
              </w:rPr>
              <w:br/>
            </w:r>
            <w:r w:rsidRPr="00AE1FAA">
              <w:rPr>
                <w:rFonts w:asciiTheme="minorHAnsi" w:hAnsiTheme="minorHAnsi" w:cstheme="minorHAnsi"/>
                <w:sz w:val="20"/>
              </w:rPr>
              <w:t>gemäß DIN EN ISO 20166-2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 xml:space="preserve">Verarbeitung von FFPE-Gewebe zur Herstellung von RNA </w:t>
            </w:r>
            <w:r w:rsidR="00441D49">
              <w:rPr>
                <w:rFonts w:asciiTheme="minorHAnsi" w:hAnsiTheme="minorHAnsi" w:cstheme="minorHAnsi"/>
                <w:sz w:val="20"/>
              </w:rPr>
              <w:br/>
            </w:r>
            <w:r w:rsidRPr="00AE1FAA">
              <w:rPr>
                <w:rFonts w:asciiTheme="minorHAnsi" w:hAnsiTheme="minorHAnsi" w:cstheme="minorHAnsi"/>
                <w:sz w:val="20"/>
              </w:rPr>
              <w:t xml:space="preserve">gemäß DIN EN ISO 20166-1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556F9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 xml:space="preserve">Verarbeitung von schockgefrorenem Gewebe zur Herstellung </w:t>
            </w:r>
            <w:r w:rsidR="00441D49">
              <w:rPr>
                <w:rFonts w:asciiTheme="minorHAnsi" w:hAnsiTheme="minorHAnsi" w:cstheme="minorHAnsi"/>
                <w:sz w:val="20"/>
              </w:rPr>
              <w:br/>
            </w:r>
            <w:r w:rsidRPr="00AE1FAA">
              <w:rPr>
                <w:rFonts w:asciiTheme="minorHAnsi" w:hAnsiTheme="minorHAnsi" w:cstheme="minorHAnsi"/>
                <w:sz w:val="20"/>
              </w:rPr>
              <w:t>von DNA gemäß DIN CEN/TS 16826-3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556F9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 xml:space="preserve">Verarbeitung von schockgefrorenem Gewebe zur Herstellung </w:t>
            </w:r>
            <w:r w:rsidR="00441D49">
              <w:rPr>
                <w:rFonts w:asciiTheme="minorHAnsi" w:hAnsiTheme="minorHAnsi" w:cstheme="minorHAnsi"/>
                <w:sz w:val="20"/>
              </w:rPr>
              <w:br/>
            </w:r>
            <w:r w:rsidRPr="00AE1FAA">
              <w:rPr>
                <w:rFonts w:asciiTheme="minorHAnsi" w:hAnsiTheme="minorHAnsi" w:cstheme="minorHAnsi"/>
                <w:sz w:val="20"/>
              </w:rPr>
              <w:t>von Proteinen gemäß DIN EN ISO 20184-2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 xml:space="preserve">Verarbeitung von schockgefrorenem Gewebe zur Herstellung </w:t>
            </w:r>
            <w:r w:rsidR="00441D49">
              <w:rPr>
                <w:rFonts w:asciiTheme="minorHAnsi" w:hAnsiTheme="minorHAnsi" w:cstheme="minorHAnsi"/>
                <w:sz w:val="20"/>
              </w:rPr>
              <w:br/>
            </w:r>
            <w:r w:rsidRPr="00AE1FAA">
              <w:rPr>
                <w:rFonts w:asciiTheme="minorHAnsi" w:hAnsiTheme="minorHAnsi" w:cstheme="minorHAnsi"/>
                <w:sz w:val="20"/>
              </w:rPr>
              <w:t xml:space="preserve">von RNA gemäß DIN EN ISO 20184-1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556F9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Weitere Prüfverfahren (bitte aufführen)</w:t>
            </w:r>
          </w:p>
          <w:p w:rsidR="00A556F9" w:rsidRPr="00AE1FAA" w:rsidRDefault="00A556F9" w:rsidP="00A556F9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ED78C0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ED78C0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Methoden zur Prozesskontrolle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9" w:rsidRPr="00AE1FAA" w:rsidRDefault="00A556F9" w:rsidP="00ED78C0">
            <w:pPr>
              <w:keepNext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ED78C0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556F9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Histopathologische Begutachtung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556F9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Immunhistochemische Färbungen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556F9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 xml:space="preserve">Makroskopische Eingangskontrolle von Gewebe </w:t>
            </w:r>
            <w:r w:rsidR="00441D49">
              <w:rPr>
                <w:rFonts w:asciiTheme="minorHAnsi" w:hAnsiTheme="minorHAnsi" w:cstheme="minorHAnsi"/>
                <w:sz w:val="20"/>
              </w:rPr>
              <w:br/>
            </w:r>
            <w:r w:rsidRPr="00AE1FAA">
              <w:rPr>
                <w:rFonts w:asciiTheme="minorHAnsi" w:hAnsiTheme="minorHAnsi" w:cstheme="minorHAnsi"/>
                <w:sz w:val="20"/>
              </w:rPr>
              <w:t>durch einen Pathologen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556F9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 xml:space="preserve">Monitoring von Prozesszeiten und Prozesskonditionen </w:t>
            </w:r>
            <w:r w:rsidR="00441D49">
              <w:rPr>
                <w:rFonts w:asciiTheme="minorHAnsi" w:hAnsiTheme="minorHAnsi" w:cstheme="minorHAnsi"/>
                <w:sz w:val="20"/>
              </w:rPr>
              <w:br/>
            </w:r>
            <w:r w:rsidRPr="00AE1FAA">
              <w:rPr>
                <w:rFonts w:asciiTheme="minorHAnsi" w:hAnsiTheme="minorHAnsi" w:cstheme="minorHAnsi"/>
                <w:sz w:val="20"/>
              </w:rPr>
              <w:t>(z.B. TTC, TTF)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556F9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Nukleinsäurebestimmung mittels PCR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556F9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Prä-/Post-Biobanking-Analytik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556F9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qPCR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556F9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Qualitätsbestimmung und Mengenbestimmung von Nukleinsäuren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556F9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Temperaturkontrolle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556F9" w:rsidRPr="00AE1FAA" w:rsidTr="00ED78C0">
        <w:trPr>
          <w:cantSplit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9" w:rsidRPr="00AE1FAA" w:rsidRDefault="00A556F9" w:rsidP="00A556F9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Weitere Prüfverfahren (bitte aufführen)</w:t>
            </w:r>
          </w:p>
          <w:p w:rsidR="00A556F9" w:rsidRPr="00AE1FAA" w:rsidRDefault="00A556F9" w:rsidP="00A556F9">
            <w:pPr>
              <w:keepLines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F9" w:rsidRPr="00AE1FAA" w:rsidRDefault="00A556F9" w:rsidP="00A556F9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7968B9" w:rsidRPr="00B91EDC" w:rsidRDefault="007968B9" w:rsidP="00E458A1">
      <w:pPr>
        <w:rPr>
          <w:rFonts w:asciiTheme="minorHAnsi" w:hAnsiTheme="minorHAnsi"/>
          <w:sz w:val="20"/>
        </w:rPr>
      </w:pPr>
    </w:p>
    <w:p w:rsidR="00AE1FAA" w:rsidRDefault="00AE1FAA" w:rsidP="00AE1FAA">
      <w:pPr>
        <w:rPr>
          <w:rFonts w:asciiTheme="minorHAnsi" w:hAnsiTheme="minorHAnsi" w:cstheme="minorHAnsi"/>
          <w:b/>
          <w:sz w:val="20"/>
        </w:rPr>
        <w:sectPr w:rsidR="00AE1FAA" w:rsidSect="00441D49">
          <w:headerReference w:type="default" r:id="rId8"/>
          <w:headerReference w:type="first" r:id="rId9"/>
          <w:footerReference w:type="first" r:id="rId10"/>
          <w:footnotePr>
            <w:numStart w:val="2"/>
          </w:footnotePr>
          <w:endnotePr>
            <w:numFmt w:val="decimal"/>
          </w:endnotePr>
          <w:type w:val="continuous"/>
          <w:pgSz w:w="16838" w:h="11906" w:orient="landscape" w:code="9"/>
          <w:pgMar w:top="1418" w:right="1134" w:bottom="709" w:left="1134" w:header="567" w:footer="56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650"/>
        <w:gridCol w:w="2403"/>
      </w:tblGrid>
      <w:tr w:rsidR="007968B9" w:rsidRPr="00AE1FAA" w:rsidTr="00AE1FAA">
        <w:trPr>
          <w:cantSplit/>
          <w:tblHeader/>
        </w:trPr>
        <w:tc>
          <w:tcPr>
            <w:tcW w:w="7650" w:type="dxa"/>
            <w:shd w:val="clear" w:color="auto" w:fill="auto"/>
          </w:tcPr>
          <w:p w:rsidR="007968B9" w:rsidRPr="00AE1FAA" w:rsidRDefault="00E9580D" w:rsidP="00AE1FA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E1FAA">
              <w:rPr>
                <w:rFonts w:asciiTheme="minorHAnsi" w:hAnsiTheme="minorHAnsi" w:cstheme="minorHAnsi"/>
                <w:b/>
                <w:sz w:val="20"/>
              </w:rPr>
              <w:lastRenderedPageBreak/>
              <w:t>Materialien (Output)</w:t>
            </w:r>
          </w:p>
        </w:tc>
        <w:tc>
          <w:tcPr>
            <w:tcW w:w="2403" w:type="dxa"/>
            <w:shd w:val="clear" w:color="auto" w:fill="auto"/>
          </w:tcPr>
          <w:p w:rsidR="007968B9" w:rsidRPr="00AE1FAA" w:rsidRDefault="00441D49" w:rsidP="00441D4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</w:t>
            </w:r>
            <w:r w:rsidR="00CF5E2D" w:rsidRPr="00AE1FAA">
              <w:rPr>
                <w:rFonts w:asciiTheme="minorHAnsi" w:hAnsiTheme="minorHAnsi" w:cstheme="minorHAnsi"/>
                <w:b/>
                <w:sz w:val="20"/>
              </w:rPr>
              <w:t>utreffend</w:t>
            </w:r>
          </w:p>
        </w:tc>
      </w:tr>
      <w:tr w:rsidR="00A556F9" w:rsidRPr="00AE1FAA" w:rsidTr="00A556F9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Abstriche (z.B. Wange)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556F9" w:rsidRPr="00AE1FAA" w:rsidRDefault="00A556F9" w:rsidP="00A556F9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556F9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Atemexhalat/Atemkondensat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556F9" w:rsidRPr="00AE1FAA" w:rsidRDefault="00A556F9" w:rsidP="00A556F9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BAL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DNA gemäß DIN CEN/TS 16826-3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DNA gemäß DIN EN ISO 20166-3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DNA gemäß DIN EN ISO 20186-2 (Entwurf)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DNA gemäß DIN EN ISO 20186-3 (Entwurf)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DNA, in house Methode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Drainage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FFPE-Gewebe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Frischgewebe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441D49" w:rsidP="00AE1FA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</w:t>
            </w:r>
            <w:r w:rsidR="00A556F9" w:rsidRPr="00AE1FAA">
              <w:rPr>
                <w:rFonts w:asciiTheme="minorHAnsi" w:hAnsiTheme="minorHAnsi" w:cstheme="minorHAnsi"/>
                <w:sz w:val="20"/>
              </w:rPr>
              <w:t>efrorenes Gewebe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 xml:space="preserve">Gewebeschnitte (auf OT, im Reaktionsgefäß) 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Haar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Lavage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Liquor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Lymphe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 xml:space="preserve">Mikroorganismen/Isolate aus humanen Proben 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Muttermilch (unbehandelt, entrahmt)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PBMC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Plasma (Citrat, Heparin, EDTA, stabilisiert), plättchenarm, -reich und -frei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Pleura (-flüssigkeit)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Primäre Zellisolate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Proteine gemäß DIN EN ISO 20166-2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Proteine gemäß DIN EN ISO 20184-2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Proteine, in house Methode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Punktat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Rachenspülwasser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RNA gemäß DIN EN ISO 20166-1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RNA gemäß DIN EN ISO 20184-1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RNA gemäß DIN EN ISO 20186-1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ED78C0" w:rsidP="00ED78C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RNA, in</w:t>
            </w:r>
            <w:r w:rsidR="00A556F9" w:rsidRPr="00AE1FAA">
              <w:rPr>
                <w:rFonts w:asciiTheme="minorHAnsi" w:hAnsiTheme="minorHAnsi" w:cstheme="minorHAnsi"/>
                <w:sz w:val="20"/>
              </w:rPr>
              <w:t xml:space="preserve"> house Methode</w:t>
            </w:r>
          </w:p>
        </w:tc>
        <w:bookmarkStart w:id="1" w:name="_GoBack"/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  <w:bookmarkEnd w:id="1"/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Schweiß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Sekrete (Nasensekret)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Serum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Speichel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lastRenderedPageBreak/>
              <w:t>Sputum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Stuhl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Tränenflüssigkeit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Trockenblut/-karten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Urin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A556F9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A556F9" w:rsidRPr="00AE1FAA" w:rsidRDefault="00A556F9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Vollblut (stabilisiert, nichtstabilisiert)</w:t>
            </w:r>
          </w:p>
        </w:tc>
        <w:tc>
          <w:tcPr>
            <w:tcW w:w="2403" w:type="dxa"/>
            <w:shd w:val="clear" w:color="auto" w:fill="auto"/>
          </w:tcPr>
          <w:p w:rsidR="00A556F9" w:rsidRPr="00AE1FAA" w:rsidRDefault="00A556F9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CF5E2D" w:rsidRPr="00AE1FAA" w:rsidTr="00AE1FAA">
        <w:trPr>
          <w:cantSplit/>
        </w:trPr>
        <w:tc>
          <w:tcPr>
            <w:tcW w:w="7650" w:type="dxa"/>
            <w:shd w:val="clear" w:color="auto" w:fill="auto"/>
          </w:tcPr>
          <w:p w:rsidR="00CF5E2D" w:rsidRPr="00AE1FAA" w:rsidRDefault="00CF5E2D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t>Weitere (bitte angeben):</w:t>
            </w:r>
          </w:p>
          <w:p w:rsidR="00CF5E2D" w:rsidRPr="00AE1FAA" w:rsidRDefault="00AE1FAA" w:rsidP="00AE1FAA">
            <w:pPr>
              <w:rPr>
                <w:rFonts w:asciiTheme="minorHAnsi" w:hAnsiTheme="minorHAnsi" w:cstheme="minorHAnsi"/>
                <w:sz w:val="20"/>
              </w:rPr>
            </w:pPr>
            <w:r w:rsidRPr="00AE1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F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1FAA">
              <w:rPr>
                <w:rFonts w:asciiTheme="minorHAnsi" w:hAnsiTheme="minorHAnsi" w:cstheme="minorHAnsi"/>
                <w:sz w:val="20"/>
              </w:rPr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E1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03" w:type="dxa"/>
            <w:shd w:val="clear" w:color="auto" w:fill="auto"/>
          </w:tcPr>
          <w:p w:rsidR="00CF5E2D" w:rsidRPr="00AE1FAA" w:rsidRDefault="003B0F18" w:rsidP="00AE1FA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E2D" w:rsidRPr="00AE1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</w:r>
            <w:r w:rsidR="00ED78C0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AE1FA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</w:tbl>
    <w:bookmarkEnd w:id="0"/>
    <w:p w:rsidR="00051454" w:rsidRPr="00051454" w:rsidRDefault="00051454" w:rsidP="00ED78C0">
      <w:pPr>
        <w:keepNext/>
        <w:spacing w:before="240"/>
        <w:jc w:val="both"/>
        <w:rPr>
          <w:szCs w:val="22"/>
        </w:rPr>
      </w:pPr>
      <w:r w:rsidRPr="00051454">
        <w:rPr>
          <w:i/>
          <w:iCs/>
          <w:szCs w:val="22"/>
          <w:u w:val="single"/>
        </w:rPr>
        <w:t>Rechtsverbindliche Erklärung</w:t>
      </w:r>
      <w:r w:rsidRPr="00051454">
        <w:rPr>
          <w:i/>
          <w:iCs/>
          <w:szCs w:val="22"/>
        </w:rPr>
        <w:t>:</w:t>
      </w:r>
    </w:p>
    <w:p w:rsidR="00051454" w:rsidRPr="00051454" w:rsidRDefault="00051454" w:rsidP="00051454">
      <w:pPr>
        <w:pStyle w:val="Textkrper2"/>
        <w:keepNext/>
        <w:jc w:val="both"/>
        <w:rPr>
          <w:sz w:val="22"/>
          <w:szCs w:val="22"/>
        </w:rPr>
      </w:pPr>
      <w:r w:rsidRPr="00051454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051454" w:rsidRPr="00051454" w:rsidRDefault="00051454" w:rsidP="00720BC4">
      <w:pPr>
        <w:pStyle w:val="Textkrper2"/>
        <w:keepNext/>
        <w:spacing w:after="240"/>
        <w:jc w:val="both"/>
        <w:rPr>
          <w:sz w:val="22"/>
          <w:szCs w:val="22"/>
        </w:rPr>
      </w:pPr>
      <w:r w:rsidRPr="00051454">
        <w:rPr>
          <w:sz w:val="22"/>
          <w:szCs w:val="22"/>
        </w:rPr>
        <w:t>Ich bin in den letzten vier Jahren in den angegebenen Fachbereichen / Sachgebieten praktisch tätig gewesen.</w:t>
      </w:r>
    </w:p>
    <w:tbl>
      <w:tblPr>
        <w:tblW w:w="8378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7"/>
        <w:gridCol w:w="4395"/>
      </w:tblGrid>
      <w:tr w:rsidR="00051454" w:rsidRPr="00051454" w:rsidTr="00720BC4">
        <w:trPr>
          <w:cantSplit/>
          <w:trHeight w:val="340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051454" w:rsidRPr="00051454" w:rsidRDefault="003B0F18" w:rsidP="006020EA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51454"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="00051454" w:rsidRPr="00051454">
              <w:rPr>
                <w:noProof/>
                <w:szCs w:val="22"/>
                <w:lang w:val="en-GB"/>
              </w:rPr>
              <w:t> </w:t>
            </w:r>
            <w:r w:rsidR="00051454" w:rsidRPr="00051454">
              <w:rPr>
                <w:noProof/>
                <w:szCs w:val="22"/>
                <w:lang w:val="en-GB"/>
              </w:rPr>
              <w:t> </w:t>
            </w:r>
            <w:r w:rsidR="00051454" w:rsidRPr="00051454">
              <w:rPr>
                <w:noProof/>
                <w:szCs w:val="22"/>
                <w:lang w:val="en-GB"/>
              </w:rPr>
              <w:t> </w:t>
            </w:r>
            <w:r w:rsidR="00051454" w:rsidRPr="00051454">
              <w:rPr>
                <w:noProof/>
                <w:szCs w:val="22"/>
                <w:lang w:val="en-GB"/>
              </w:rPr>
              <w:t> </w:t>
            </w:r>
            <w:r w:rsidR="00051454"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454" w:rsidRPr="00051454" w:rsidRDefault="00051454" w:rsidP="006020EA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824644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 w:rsidR="003B0F18"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4644">
              <w:rPr>
                <w:szCs w:val="22"/>
                <w:lang w:val="en-GB"/>
              </w:rPr>
              <w:instrText xml:space="preserve"> FORMTEXT </w:instrText>
            </w:r>
            <w:r w:rsidR="003B0F18">
              <w:rPr>
                <w:szCs w:val="22"/>
                <w:lang w:val="en-GB"/>
              </w:rPr>
            </w:r>
            <w:r w:rsidR="003B0F18">
              <w:rPr>
                <w:szCs w:val="22"/>
                <w:lang w:val="en-GB"/>
              </w:rPr>
              <w:fldChar w:fldCharType="separate"/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3B0F18">
              <w:rPr>
                <w:szCs w:val="22"/>
                <w:lang w:val="en-GB"/>
              </w:rPr>
              <w:fldChar w:fldCharType="end"/>
            </w:r>
          </w:p>
        </w:tc>
      </w:tr>
      <w:tr w:rsidR="00051454" w:rsidRPr="00051454" w:rsidTr="00F727C0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051454" w:rsidRPr="00051454" w:rsidRDefault="00051454" w:rsidP="006020EA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454" w:rsidRPr="00051454" w:rsidRDefault="00051454" w:rsidP="006020EA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051454" w:rsidRPr="00051454" w:rsidRDefault="00051454" w:rsidP="002A2BD4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2" w:name="_Ref118731380"/>
            <w:r w:rsidR="00441D49">
              <w:rPr>
                <w:rStyle w:val="Endnotenzeichen"/>
                <w:b/>
                <w:bCs/>
                <w:szCs w:val="22"/>
              </w:rPr>
              <w:endnoteReference w:id="1"/>
            </w:r>
            <w:bookmarkEnd w:id="2"/>
          </w:p>
        </w:tc>
      </w:tr>
    </w:tbl>
    <w:p w:rsidR="00ED78C0" w:rsidRPr="00441D49" w:rsidRDefault="00ED78C0" w:rsidP="00ED78C0">
      <w:pPr>
        <w:rPr>
          <w:iCs/>
          <w:sz w:val="20"/>
          <w:u w:val="single"/>
        </w:rPr>
      </w:pPr>
    </w:p>
    <w:p w:rsidR="00051454" w:rsidRPr="00051454" w:rsidRDefault="00051454" w:rsidP="00ED78C0">
      <w:pPr>
        <w:keepNext/>
        <w:spacing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441D49">
        <w:rPr>
          <w:szCs w:val="22"/>
        </w:rPr>
        <w:t>die</w:t>
      </w:r>
      <w:r w:rsidR="00441D49" w:rsidRPr="00051454">
        <w:rPr>
          <w:szCs w:val="22"/>
        </w:rPr>
        <w:t xml:space="preserve"> Fachbereichs</w:t>
      </w:r>
      <w:r w:rsidR="00441D49">
        <w:rPr>
          <w:szCs w:val="22"/>
        </w:rPr>
        <w:t>leitung</w:t>
      </w:r>
      <w:r w:rsidR="00441D49" w:rsidRPr="00051454">
        <w:rPr>
          <w:szCs w:val="22"/>
        </w:rPr>
        <w:t xml:space="preserve"> (FB</w:t>
      </w:r>
      <w:r w:rsidR="00441D49">
        <w:rPr>
          <w:szCs w:val="22"/>
        </w:rPr>
        <w:t>L</w:t>
      </w:r>
      <w:r w:rsidR="00441D49" w:rsidRPr="00051454">
        <w:rPr>
          <w:szCs w:val="22"/>
        </w:rPr>
        <w:t xml:space="preserve">) </w:t>
      </w:r>
      <w:r w:rsidRPr="00051454">
        <w:rPr>
          <w:szCs w:val="22"/>
        </w:rPr>
        <w:t>zum oben abgezeichneten Benennungsumfang.</w:t>
      </w:r>
    </w:p>
    <w:tbl>
      <w:tblPr>
        <w:tblW w:w="341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</w:tblGrid>
      <w:tr w:rsidR="00051454" w:rsidRPr="00051454" w:rsidTr="00ED78C0">
        <w:trPr>
          <w:cantSplit/>
          <w:trHeight w:val="964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ED78C0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051454" w:rsidRPr="00051454" w:rsidTr="00ED78C0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051454" w:rsidRPr="00051454" w:rsidRDefault="00824644" w:rsidP="00ED78C0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="00051454"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="00051454" w:rsidRPr="00051454">
              <w:rPr>
                <w:b/>
                <w:bCs/>
                <w:szCs w:val="22"/>
              </w:rPr>
              <w:t xml:space="preserve"> Unterschrift FB</w:t>
            </w:r>
            <w:r w:rsidR="00441D49">
              <w:rPr>
                <w:b/>
                <w:bCs/>
                <w:szCs w:val="22"/>
              </w:rPr>
              <w:t>L</w:t>
            </w:r>
            <w:r w:rsidR="00441D49" w:rsidRPr="00441D49">
              <w:rPr>
                <w:b/>
                <w:bCs/>
                <w:szCs w:val="22"/>
                <w:vertAlign w:val="superscript"/>
              </w:rPr>
              <w:t>1</w:t>
            </w:r>
          </w:p>
        </w:tc>
      </w:tr>
    </w:tbl>
    <w:p w:rsidR="00051454" w:rsidRPr="003213B1" w:rsidRDefault="00051454" w:rsidP="00ED78C0">
      <w:pPr>
        <w:rPr>
          <w:szCs w:val="22"/>
        </w:rPr>
      </w:pPr>
    </w:p>
    <w:sectPr w:rsidR="00051454" w:rsidRPr="003213B1" w:rsidSect="00AE1FAA">
      <w:headerReference w:type="default" r:id="rId11"/>
      <w:footerReference w:type="default" r:id="rId12"/>
      <w:footnotePr>
        <w:numStart w:val="2"/>
      </w:footnotePr>
      <w:endnotePr>
        <w:numFmt w:val="decimal"/>
      </w:endnotePr>
      <w:pgSz w:w="11906" w:h="16838" w:code="9"/>
      <w:pgMar w:top="1106" w:right="709" w:bottom="99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0E" w:rsidRDefault="00450D0E">
      <w:r>
        <w:separator/>
      </w:r>
    </w:p>
  </w:endnote>
  <w:endnote w:type="continuationSeparator" w:id="0">
    <w:p w:rsidR="00450D0E" w:rsidRDefault="00450D0E">
      <w:r>
        <w:continuationSeparator/>
      </w:r>
    </w:p>
  </w:endnote>
  <w:endnote w:id="1">
    <w:p w:rsidR="00441D49" w:rsidRPr="007B339B" w:rsidRDefault="00441D49" w:rsidP="00441D49">
      <w:pPr>
        <w:pStyle w:val="Endnotentext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Pr="007B339B">
        <w:rPr>
          <w:sz w:val="18"/>
          <w:szCs w:val="18"/>
        </w:rPr>
        <w:t xml:space="preserve"> </w:t>
      </w:r>
      <w:r w:rsidR="00ED78C0">
        <w:rPr>
          <w:sz w:val="18"/>
          <w:szCs w:val="18"/>
        </w:rPr>
        <w:t xml:space="preserve">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AA" w:rsidRPr="00357D48" w:rsidRDefault="00AE1FAA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AE1FAA" w:rsidRDefault="00AE1FAA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AE1FAA" w:rsidRDefault="00AE1F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AA" w:rsidRDefault="00AE1FAA" w:rsidP="002D266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0E" w:rsidRDefault="00450D0E">
      <w:r>
        <w:separator/>
      </w:r>
    </w:p>
  </w:footnote>
  <w:footnote w:type="continuationSeparator" w:id="0">
    <w:p w:rsidR="00450D0E" w:rsidRDefault="00450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98"/>
      <w:gridCol w:w="10272"/>
      <w:gridCol w:w="1106"/>
      <w:gridCol w:w="1184"/>
    </w:tblGrid>
    <w:tr w:rsidR="00AE1FAA" w:rsidRPr="004E27C4" w:rsidTr="00441D49">
      <w:trPr>
        <w:cantSplit/>
      </w:trPr>
      <w:tc>
        <w:tcPr>
          <w:tcW w:w="2052" w:type="dxa"/>
          <w:vMerge w:val="restart"/>
          <w:vAlign w:val="center"/>
        </w:tcPr>
        <w:p w:rsidR="00AE1FAA" w:rsidRPr="006B07B0" w:rsidRDefault="00AE1FAA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16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4" w:type="dxa"/>
          <w:vMerge w:val="restart"/>
          <w:vAlign w:val="center"/>
        </w:tcPr>
        <w:p w:rsidR="00A556F9" w:rsidRDefault="00AE1FAA" w:rsidP="00AE1FAA">
          <w:pPr>
            <w:jc w:val="center"/>
            <w:rPr>
              <w:b/>
            </w:rPr>
          </w:pPr>
          <w:r>
            <w:rPr>
              <w:b/>
            </w:rPr>
            <w:t>Benennungsumfang</w:t>
          </w:r>
          <w:r w:rsidRPr="007B21CA">
            <w:rPr>
              <w:b/>
            </w:rPr>
            <w:t xml:space="preserve"> für Begutachter</w:t>
          </w:r>
          <w:r>
            <w:rPr>
              <w:b/>
            </w:rPr>
            <w:t>/Fachexperten</w:t>
          </w:r>
          <w:r w:rsidRPr="007B21CA">
            <w:rPr>
              <w:b/>
            </w:rPr>
            <w:t xml:space="preserve"> </w:t>
          </w:r>
          <w:r>
            <w:rPr>
              <w:b/>
            </w:rPr>
            <w:t xml:space="preserve">im Fachbereich </w:t>
          </w:r>
        </w:p>
        <w:p w:rsidR="00AE1FAA" w:rsidRPr="003213B1" w:rsidRDefault="00A556F9" w:rsidP="00AE1FAA">
          <w:pPr>
            <w:jc w:val="center"/>
            <w:rPr>
              <w:b/>
              <w:szCs w:val="22"/>
            </w:rPr>
          </w:pPr>
          <w:r>
            <w:rPr>
              <w:b/>
            </w:rPr>
            <w:t xml:space="preserve">Biobanken </w:t>
          </w:r>
          <w:r w:rsidR="00AE1FAA">
            <w:rPr>
              <w:b/>
            </w:rPr>
            <w:t>- Sachbereich Human Biobanken</w:t>
          </w:r>
        </w:p>
      </w:tc>
      <w:tc>
        <w:tcPr>
          <w:tcW w:w="2348" w:type="dxa"/>
          <w:gridSpan w:val="2"/>
        </w:tcPr>
        <w:p w:rsidR="00AE1FAA" w:rsidRPr="006B07B0" w:rsidRDefault="00E26DC5" w:rsidP="00E225AF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</w:t>
          </w:r>
          <w:r w:rsidR="00AE1FAA">
            <w:rPr>
              <w:rFonts w:ascii="Calibri" w:hAnsi="Calibri" w:cs="Arial"/>
              <w:b/>
              <w:sz w:val="18"/>
              <w:szCs w:val="18"/>
            </w:rPr>
            <w:t>49</w:t>
          </w:r>
        </w:p>
      </w:tc>
    </w:tr>
    <w:tr w:rsidR="00AE1FAA" w:rsidRPr="004E27C4" w:rsidTr="00441D49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AE1FAA" w:rsidRPr="006B07B0" w:rsidRDefault="00AE1FAA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AE1FAA" w:rsidRPr="006B07B0" w:rsidRDefault="00AE1FAA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E1FAA" w:rsidRPr="006B07B0" w:rsidRDefault="00AE1FAA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14" w:type="dxa"/>
        </w:tcPr>
        <w:p w:rsidR="00AE1FAA" w:rsidRPr="006B07B0" w:rsidRDefault="00AE1FAA" w:rsidP="00441D49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1.</w:t>
          </w:r>
          <w:r w:rsidR="00441D49">
            <w:rPr>
              <w:rFonts w:ascii="Calibri" w:hAnsi="Calibri" w:cs="Arial"/>
              <w:bCs/>
              <w:sz w:val="16"/>
            </w:rPr>
            <w:t>1</w:t>
          </w:r>
        </w:p>
      </w:tc>
    </w:tr>
    <w:tr w:rsidR="00AE1FAA" w:rsidRPr="00732443" w:rsidTr="00441D49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AE1FAA" w:rsidRPr="006B07B0" w:rsidRDefault="00AE1FAA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AE1FAA" w:rsidRPr="006B07B0" w:rsidRDefault="00AE1FAA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E1FAA" w:rsidRPr="00BE14FC" w:rsidRDefault="00AE1FAA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14" w:type="dxa"/>
        </w:tcPr>
        <w:p w:rsidR="00AE1FAA" w:rsidRPr="006B07B0" w:rsidRDefault="00720BC4" w:rsidP="003213B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</w:t>
          </w:r>
          <w:r w:rsidR="00441D49">
            <w:rPr>
              <w:rFonts w:ascii="Calibri" w:hAnsi="Calibri" w:cs="Arial"/>
              <w:bCs/>
              <w:sz w:val="16"/>
            </w:rPr>
            <w:t>.2022</w:t>
          </w:r>
        </w:p>
      </w:tc>
    </w:tr>
    <w:tr w:rsidR="00AE1FAA" w:rsidRPr="004E27C4" w:rsidTr="00441D49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AE1FAA" w:rsidRPr="006B07B0" w:rsidRDefault="00AE1FAA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AE1FAA" w:rsidRPr="006B07B0" w:rsidRDefault="00AE1FAA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E1FAA" w:rsidRPr="006B07B0" w:rsidRDefault="00AE1FAA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14" w:type="dxa"/>
        </w:tcPr>
        <w:p w:rsidR="00AE1FAA" w:rsidRPr="006B07B0" w:rsidRDefault="00AE1FAA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ED78C0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5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ED78C0">
            <w:rPr>
              <w:rStyle w:val="Seitenzahl"/>
              <w:rFonts w:ascii="Calibri" w:hAnsi="Calibri" w:cs="Arial"/>
              <w:noProof/>
              <w:sz w:val="16"/>
              <w:szCs w:val="16"/>
            </w:rPr>
            <w:t>7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AE1FAA" w:rsidRPr="007968B9" w:rsidRDefault="00AE1FAA" w:rsidP="00EC14F6">
    <w:pPr>
      <w:pStyle w:val="Kopfzeile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AE1FAA" w:rsidRPr="004E27C4">
      <w:trPr>
        <w:cantSplit/>
      </w:trPr>
      <w:tc>
        <w:tcPr>
          <w:tcW w:w="2770" w:type="dxa"/>
          <w:vMerge w:val="restart"/>
          <w:vAlign w:val="center"/>
        </w:tcPr>
        <w:p w:rsidR="00AE1FAA" w:rsidRPr="006B07B0" w:rsidRDefault="00AE1FAA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17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AE1FAA" w:rsidRPr="004E27C4" w:rsidRDefault="00AE1FAA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AE1FAA" w:rsidRPr="006B07B0" w:rsidRDefault="00AE1FAA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AE1FAA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AE1FAA" w:rsidRPr="006B07B0" w:rsidRDefault="00AE1FAA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AE1FAA" w:rsidRPr="006B07B0" w:rsidRDefault="00AE1FAA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E1FAA" w:rsidRPr="006B07B0" w:rsidRDefault="00AE1FAA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AE1FAA" w:rsidRPr="006B07B0" w:rsidRDefault="00AE1FAA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AE1FAA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AE1FAA" w:rsidRPr="006B07B0" w:rsidRDefault="00AE1FAA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AE1FAA" w:rsidRPr="006B07B0" w:rsidRDefault="00AE1FAA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E1FAA" w:rsidRPr="006B07B0" w:rsidRDefault="00AE1FAA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AE1FAA" w:rsidRPr="006B07B0" w:rsidRDefault="00AE1FAA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AE1FAA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AE1FAA" w:rsidRPr="006B07B0" w:rsidRDefault="00AE1FAA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AE1FAA" w:rsidRPr="006B07B0" w:rsidRDefault="00AE1FAA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AE1FAA" w:rsidRPr="006B07B0" w:rsidRDefault="00AE1FAA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AE1FAA" w:rsidRPr="006B07B0" w:rsidRDefault="00AE1FAA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4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AE1FAA" w:rsidRPr="004E27C4" w:rsidRDefault="00AE1FA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35"/>
      <w:gridCol w:w="5515"/>
      <w:gridCol w:w="1139"/>
      <w:gridCol w:w="1264"/>
    </w:tblGrid>
    <w:tr w:rsidR="00AE1FAA" w:rsidRPr="004E27C4" w:rsidTr="00AE1FAA">
      <w:trPr>
        <w:cantSplit/>
      </w:trPr>
      <w:tc>
        <w:tcPr>
          <w:tcW w:w="2135" w:type="dxa"/>
          <w:vMerge w:val="restart"/>
          <w:vAlign w:val="center"/>
        </w:tcPr>
        <w:p w:rsidR="00AE1FAA" w:rsidRPr="006B07B0" w:rsidRDefault="00AE1FAA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7AA67D8C" wp14:editId="602B4C62">
                <wp:extent cx="1228725" cy="523875"/>
                <wp:effectExtent l="19050" t="0" r="9525" b="0"/>
                <wp:docPr id="5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5" w:type="dxa"/>
          <w:vMerge w:val="restart"/>
          <w:vAlign w:val="center"/>
        </w:tcPr>
        <w:p w:rsidR="00AE1FAA" w:rsidRPr="00AE1FAA" w:rsidRDefault="00AE1FAA" w:rsidP="00AE1FAA">
          <w:pPr>
            <w:jc w:val="center"/>
            <w:rPr>
              <w:b/>
            </w:rPr>
          </w:pPr>
          <w:r>
            <w:rPr>
              <w:b/>
            </w:rPr>
            <w:t>Benennungsumfang</w:t>
          </w:r>
          <w:r w:rsidRPr="007B21CA">
            <w:rPr>
              <w:b/>
            </w:rPr>
            <w:t xml:space="preserve"> für Begutachter</w:t>
          </w:r>
          <w:r>
            <w:rPr>
              <w:b/>
            </w:rPr>
            <w:t>/Fachexperten</w:t>
          </w:r>
          <w:r w:rsidRPr="007B21CA">
            <w:rPr>
              <w:b/>
            </w:rPr>
            <w:t xml:space="preserve"> </w:t>
          </w:r>
          <w:r>
            <w:rPr>
              <w:b/>
            </w:rPr>
            <w:br/>
            <w:t xml:space="preserve">im Fachbereich Biobanken </w:t>
          </w:r>
          <w:r>
            <w:rPr>
              <w:b/>
            </w:rPr>
            <w:br/>
            <w:t>- Sachbereich Human Biobanken</w:t>
          </w:r>
        </w:p>
      </w:tc>
      <w:tc>
        <w:tcPr>
          <w:tcW w:w="2403" w:type="dxa"/>
          <w:gridSpan w:val="2"/>
        </w:tcPr>
        <w:p w:rsidR="00AE1FAA" w:rsidRPr="006B07B0" w:rsidRDefault="00720BC4" w:rsidP="00E225AF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FO-BU_049</w:t>
          </w:r>
        </w:p>
      </w:tc>
    </w:tr>
    <w:tr w:rsidR="00AE1FAA" w:rsidRPr="004E27C4" w:rsidTr="00AE1FAA">
      <w:trPr>
        <w:cantSplit/>
        <w:trHeight w:hRule="exact" w:val="227"/>
      </w:trPr>
      <w:tc>
        <w:tcPr>
          <w:tcW w:w="2135" w:type="dxa"/>
          <w:vMerge/>
          <w:tcBorders>
            <w:top w:val="single" w:sz="4" w:space="0" w:color="auto"/>
          </w:tcBorders>
        </w:tcPr>
        <w:p w:rsidR="00AE1FAA" w:rsidRPr="006B07B0" w:rsidRDefault="00AE1FAA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5515" w:type="dxa"/>
          <w:vMerge/>
          <w:vAlign w:val="center"/>
        </w:tcPr>
        <w:p w:rsidR="00AE1FAA" w:rsidRPr="006B07B0" w:rsidRDefault="00AE1FAA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9" w:type="dxa"/>
        </w:tcPr>
        <w:p w:rsidR="00AE1FAA" w:rsidRPr="006B07B0" w:rsidRDefault="00AE1FAA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64" w:type="dxa"/>
        </w:tcPr>
        <w:p w:rsidR="00AE1FAA" w:rsidRPr="006B07B0" w:rsidRDefault="00AE1FAA" w:rsidP="00720BC4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1.</w:t>
          </w:r>
          <w:r w:rsidR="00720BC4">
            <w:rPr>
              <w:rFonts w:ascii="Calibri" w:hAnsi="Calibri" w:cs="Arial"/>
              <w:bCs/>
              <w:sz w:val="16"/>
            </w:rPr>
            <w:t>1</w:t>
          </w:r>
        </w:p>
      </w:tc>
    </w:tr>
    <w:tr w:rsidR="00AE1FAA" w:rsidRPr="00732443" w:rsidTr="00AE1FAA">
      <w:trPr>
        <w:cantSplit/>
        <w:trHeight w:hRule="exact" w:val="227"/>
      </w:trPr>
      <w:tc>
        <w:tcPr>
          <w:tcW w:w="2135" w:type="dxa"/>
          <w:vMerge/>
          <w:tcBorders>
            <w:top w:val="single" w:sz="4" w:space="0" w:color="auto"/>
          </w:tcBorders>
        </w:tcPr>
        <w:p w:rsidR="00AE1FAA" w:rsidRPr="006B07B0" w:rsidRDefault="00AE1FAA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5515" w:type="dxa"/>
          <w:vMerge/>
          <w:vAlign w:val="center"/>
        </w:tcPr>
        <w:p w:rsidR="00AE1FAA" w:rsidRPr="006B07B0" w:rsidRDefault="00AE1FAA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9" w:type="dxa"/>
        </w:tcPr>
        <w:p w:rsidR="00AE1FAA" w:rsidRPr="00BE14FC" w:rsidRDefault="00AE1FAA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64" w:type="dxa"/>
        </w:tcPr>
        <w:p w:rsidR="00AE1FAA" w:rsidRPr="006B07B0" w:rsidRDefault="00720BC4" w:rsidP="003213B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28.11.2022</w:t>
          </w:r>
        </w:p>
      </w:tc>
    </w:tr>
    <w:tr w:rsidR="00AE1FAA" w:rsidRPr="004E27C4" w:rsidTr="00AE1FAA">
      <w:trPr>
        <w:cantSplit/>
        <w:trHeight w:hRule="exact" w:val="227"/>
      </w:trPr>
      <w:tc>
        <w:tcPr>
          <w:tcW w:w="2135" w:type="dxa"/>
          <w:vMerge/>
          <w:tcBorders>
            <w:top w:val="single" w:sz="4" w:space="0" w:color="auto"/>
          </w:tcBorders>
        </w:tcPr>
        <w:p w:rsidR="00AE1FAA" w:rsidRPr="006B07B0" w:rsidRDefault="00AE1FAA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5515" w:type="dxa"/>
          <w:vMerge/>
          <w:vAlign w:val="center"/>
        </w:tcPr>
        <w:p w:rsidR="00AE1FAA" w:rsidRPr="006B07B0" w:rsidRDefault="00AE1FAA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9" w:type="dxa"/>
        </w:tcPr>
        <w:p w:rsidR="00AE1FAA" w:rsidRPr="006B07B0" w:rsidRDefault="00AE1FAA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64" w:type="dxa"/>
        </w:tcPr>
        <w:p w:rsidR="00AE1FAA" w:rsidRPr="006B07B0" w:rsidRDefault="00AE1FAA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ED78C0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6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ED78C0">
            <w:rPr>
              <w:rStyle w:val="Seitenzahl"/>
              <w:rFonts w:ascii="Calibri" w:hAnsi="Calibri" w:cs="Arial"/>
              <w:noProof/>
              <w:sz w:val="16"/>
              <w:szCs w:val="16"/>
            </w:rPr>
            <w:t>7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AE1FAA" w:rsidRPr="007968B9" w:rsidRDefault="00AE1FAA" w:rsidP="00EC14F6">
    <w:pPr>
      <w:pStyle w:val="Kopfzeile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dTLyOskaQuJmvhEgKGtBjkwoKPQcSJwEjtArJlJ3i+idw5YixmQJV5PJSNB7EAetJZfSkVqiMw4I9xkHMu1X8w==" w:salt="rPK77HhG1QHVF1l9bu9bfg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06F8F"/>
    <w:rsid w:val="00013237"/>
    <w:rsid w:val="00027AA9"/>
    <w:rsid w:val="00030134"/>
    <w:rsid w:val="00032054"/>
    <w:rsid w:val="00033E0C"/>
    <w:rsid w:val="000466A1"/>
    <w:rsid w:val="00051454"/>
    <w:rsid w:val="000A3751"/>
    <w:rsid w:val="000B4D43"/>
    <w:rsid w:val="000C0851"/>
    <w:rsid w:val="000C492D"/>
    <w:rsid w:val="000F130F"/>
    <w:rsid w:val="00106E03"/>
    <w:rsid w:val="00107F27"/>
    <w:rsid w:val="00110416"/>
    <w:rsid w:val="00116034"/>
    <w:rsid w:val="001323CB"/>
    <w:rsid w:val="001348DE"/>
    <w:rsid w:val="00135ACA"/>
    <w:rsid w:val="00137D6A"/>
    <w:rsid w:val="00140D07"/>
    <w:rsid w:val="00141431"/>
    <w:rsid w:val="00143F71"/>
    <w:rsid w:val="00145160"/>
    <w:rsid w:val="00150C84"/>
    <w:rsid w:val="001603F0"/>
    <w:rsid w:val="00160B9C"/>
    <w:rsid w:val="00186218"/>
    <w:rsid w:val="00191893"/>
    <w:rsid w:val="00191A76"/>
    <w:rsid w:val="001B55B1"/>
    <w:rsid w:val="001F2026"/>
    <w:rsid w:val="0020242D"/>
    <w:rsid w:val="002062C1"/>
    <w:rsid w:val="002259EC"/>
    <w:rsid w:val="00233C9B"/>
    <w:rsid w:val="00235E1D"/>
    <w:rsid w:val="00243E20"/>
    <w:rsid w:val="00252E43"/>
    <w:rsid w:val="002609C5"/>
    <w:rsid w:val="00263D14"/>
    <w:rsid w:val="00267865"/>
    <w:rsid w:val="0027351C"/>
    <w:rsid w:val="002863EA"/>
    <w:rsid w:val="00291DCB"/>
    <w:rsid w:val="00297914"/>
    <w:rsid w:val="002A2BD4"/>
    <w:rsid w:val="002A3FE9"/>
    <w:rsid w:val="002D2666"/>
    <w:rsid w:val="002D7ECA"/>
    <w:rsid w:val="002E1C85"/>
    <w:rsid w:val="002F7679"/>
    <w:rsid w:val="003173F2"/>
    <w:rsid w:val="003213B1"/>
    <w:rsid w:val="003274C9"/>
    <w:rsid w:val="00340AD0"/>
    <w:rsid w:val="00340C9F"/>
    <w:rsid w:val="00341397"/>
    <w:rsid w:val="0034313B"/>
    <w:rsid w:val="00353812"/>
    <w:rsid w:val="00364DA3"/>
    <w:rsid w:val="0036609A"/>
    <w:rsid w:val="00370480"/>
    <w:rsid w:val="00383BC1"/>
    <w:rsid w:val="00395A09"/>
    <w:rsid w:val="003A0680"/>
    <w:rsid w:val="003B02F8"/>
    <w:rsid w:val="003B0F18"/>
    <w:rsid w:val="003B58BC"/>
    <w:rsid w:val="003C04B4"/>
    <w:rsid w:val="003F5518"/>
    <w:rsid w:val="003F7E38"/>
    <w:rsid w:val="00412731"/>
    <w:rsid w:val="004135ED"/>
    <w:rsid w:val="00416A9F"/>
    <w:rsid w:val="00441D49"/>
    <w:rsid w:val="00450D0E"/>
    <w:rsid w:val="00452614"/>
    <w:rsid w:val="00455C0E"/>
    <w:rsid w:val="00477CC4"/>
    <w:rsid w:val="00494F3F"/>
    <w:rsid w:val="004A489B"/>
    <w:rsid w:val="004B0DA1"/>
    <w:rsid w:val="004C34A2"/>
    <w:rsid w:val="004D2C96"/>
    <w:rsid w:val="005004E8"/>
    <w:rsid w:val="005035F7"/>
    <w:rsid w:val="00527BB2"/>
    <w:rsid w:val="0056070E"/>
    <w:rsid w:val="00572BE3"/>
    <w:rsid w:val="00580077"/>
    <w:rsid w:val="00597D1A"/>
    <w:rsid w:val="005A1417"/>
    <w:rsid w:val="005A73FB"/>
    <w:rsid w:val="005B1042"/>
    <w:rsid w:val="005B1599"/>
    <w:rsid w:val="005B42D4"/>
    <w:rsid w:val="005C6591"/>
    <w:rsid w:val="005D4805"/>
    <w:rsid w:val="005E263E"/>
    <w:rsid w:val="005E55AB"/>
    <w:rsid w:val="005E6303"/>
    <w:rsid w:val="005F4F21"/>
    <w:rsid w:val="006020EA"/>
    <w:rsid w:val="006550F7"/>
    <w:rsid w:val="0066781A"/>
    <w:rsid w:val="00673703"/>
    <w:rsid w:val="00697D58"/>
    <w:rsid w:val="006A13E1"/>
    <w:rsid w:val="006B07B0"/>
    <w:rsid w:val="006B1D28"/>
    <w:rsid w:val="006D22FB"/>
    <w:rsid w:val="006D636D"/>
    <w:rsid w:val="006D790D"/>
    <w:rsid w:val="006E0A03"/>
    <w:rsid w:val="006E29B1"/>
    <w:rsid w:val="006F76EF"/>
    <w:rsid w:val="007063A5"/>
    <w:rsid w:val="00716DFA"/>
    <w:rsid w:val="00717FEE"/>
    <w:rsid w:val="00720BC4"/>
    <w:rsid w:val="00723FCC"/>
    <w:rsid w:val="00732443"/>
    <w:rsid w:val="00732697"/>
    <w:rsid w:val="007532A4"/>
    <w:rsid w:val="00754EF3"/>
    <w:rsid w:val="00783637"/>
    <w:rsid w:val="0079080A"/>
    <w:rsid w:val="007925E4"/>
    <w:rsid w:val="0079348C"/>
    <w:rsid w:val="00794BCE"/>
    <w:rsid w:val="007968B9"/>
    <w:rsid w:val="00796F47"/>
    <w:rsid w:val="007A72F7"/>
    <w:rsid w:val="007B21CA"/>
    <w:rsid w:val="007D0494"/>
    <w:rsid w:val="007D2CA1"/>
    <w:rsid w:val="007D4924"/>
    <w:rsid w:val="007E7846"/>
    <w:rsid w:val="007F5099"/>
    <w:rsid w:val="00801A55"/>
    <w:rsid w:val="0080213A"/>
    <w:rsid w:val="008036F7"/>
    <w:rsid w:val="00805C93"/>
    <w:rsid w:val="0080616B"/>
    <w:rsid w:val="008132EE"/>
    <w:rsid w:val="008224ED"/>
    <w:rsid w:val="00824644"/>
    <w:rsid w:val="00824FE9"/>
    <w:rsid w:val="00825849"/>
    <w:rsid w:val="008328A0"/>
    <w:rsid w:val="00846D1F"/>
    <w:rsid w:val="00861774"/>
    <w:rsid w:val="00861AB4"/>
    <w:rsid w:val="00862841"/>
    <w:rsid w:val="00882469"/>
    <w:rsid w:val="00891429"/>
    <w:rsid w:val="00894099"/>
    <w:rsid w:val="0089678F"/>
    <w:rsid w:val="008B109F"/>
    <w:rsid w:val="008B1F99"/>
    <w:rsid w:val="008C25D0"/>
    <w:rsid w:val="008C40FC"/>
    <w:rsid w:val="008D0BFC"/>
    <w:rsid w:val="008D325A"/>
    <w:rsid w:val="008E0417"/>
    <w:rsid w:val="008E1AF8"/>
    <w:rsid w:val="008F491F"/>
    <w:rsid w:val="00905AB6"/>
    <w:rsid w:val="00913898"/>
    <w:rsid w:val="00920265"/>
    <w:rsid w:val="00926C17"/>
    <w:rsid w:val="00947CF3"/>
    <w:rsid w:val="009524A1"/>
    <w:rsid w:val="0095333A"/>
    <w:rsid w:val="00976681"/>
    <w:rsid w:val="00991AC2"/>
    <w:rsid w:val="009952F3"/>
    <w:rsid w:val="009B0F6E"/>
    <w:rsid w:val="009B2725"/>
    <w:rsid w:val="009C7EFE"/>
    <w:rsid w:val="009F2C1F"/>
    <w:rsid w:val="00A10568"/>
    <w:rsid w:val="00A122FC"/>
    <w:rsid w:val="00A12559"/>
    <w:rsid w:val="00A23A28"/>
    <w:rsid w:val="00A261F7"/>
    <w:rsid w:val="00A32341"/>
    <w:rsid w:val="00A34206"/>
    <w:rsid w:val="00A40EC1"/>
    <w:rsid w:val="00A43D8C"/>
    <w:rsid w:val="00A556F9"/>
    <w:rsid w:val="00A61B8B"/>
    <w:rsid w:val="00A723DA"/>
    <w:rsid w:val="00AA0476"/>
    <w:rsid w:val="00AA182E"/>
    <w:rsid w:val="00AA5064"/>
    <w:rsid w:val="00AA7136"/>
    <w:rsid w:val="00AB0F6E"/>
    <w:rsid w:val="00AB46CB"/>
    <w:rsid w:val="00AC1B2B"/>
    <w:rsid w:val="00AD229A"/>
    <w:rsid w:val="00AE1FAA"/>
    <w:rsid w:val="00AE4FF9"/>
    <w:rsid w:val="00AF06E9"/>
    <w:rsid w:val="00B1618B"/>
    <w:rsid w:val="00B272E8"/>
    <w:rsid w:val="00B50323"/>
    <w:rsid w:val="00B5106E"/>
    <w:rsid w:val="00B51096"/>
    <w:rsid w:val="00B63A58"/>
    <w:rsid w:val="00B84EBA"/>
    <w:rsid w:val="00B905B9"/>
    <w:rsid w:val="00B91EDC"/>
    <w:rsid w:val="00BA6038"/>
    <w:rsid w:val="00BB534E"/>
    <w:rsid w:val="00BE14FC"/>
    <w:rsid w:val="00C029BB"/>
    <w:rsid w:val="00C0353C"/>
    <w:rsid w:val="00C14055"/>
    <w:rsid w:val="00C21D62"/>
    <w:rsid w:val="00C2389A"/>
    <w:rsid w:val="00C31A94"/>
    <w:rsid w:val="00C439C8"/>
    <w:rsid w:val="00C532E5"/>
    <w:rsid w:val="00C63AC8"/>
    <w:rsid w:val="00C71ABC"/>
    <w:rsid w:val="00C746BA"/>
    <w:rsid w:val="00C83C31"/>
    <w:rsid w:val="00C83FCE"/>
    <w:rsid w:val="00CA4A87"/>
    <w:rsid w:val="00CA5AD5"/>
    <w:rsid w:val="00CB0EBB"/>
    <w:rsid w:val="00CB525E"/>
    <w:rsid w:val="00CC5B0D"/>
    <w:rsid w:val="00CD0463"/>
    <w:rsid w:val="00CE29C2"/>
    <w:rsid w:val="00CF08A1"/>
    <w:rsid w:val="00CF5E2D"/>
    <w:rsid w:val="00D053D7"/>
    <w:rsid w:val="00D0565D"/>
    <w:rsid w:val="00D05F08"/>
    <w:rsid w:val="00D06220"/>
    <w:rsid w:val="00D350D8"/>
    <w:rsid w:val="00D36395"/>
    <w:rsid w:val="00D41549"/>
    <w:rsid w:val="00D43E5F"/>
    <w:rsid w:val="00D7110D"/>
    <w:rsid w:val="00D75637"/>
    <w:rsid w:val="00DA117D"/>
    <w:rsid w:val="00DA6F1A"/>
    <w:rsid w:val="00DA7B9A"/>
    <w:rsid w:val="00DC3B97"/>
    <w:rsid w:val="00E16AAA"/>
    <w:rsid w:val="00E225AF"/>
    <w:rsid w:val="00E24FA1"/>
    <w:rsid w:val="00E26211"/>
    <w:rsid w:val="00E26DC5"/>
    <w:rsid w:val="00E3068B"/>
    <w:rsid w:val="00E306D0"/>
    <w:rsid w:val="00E31980"/>
    <w:rsid w:val="00E33B4F"/>
    <w:rsid w:val="00E35932"/>
    <w:rsid w:val="00E40179"/>
    <w:rsid w:val="00E43A92"/>
    <w:rsid w:val="00E458A1"/>
    <w:rsid w:val="00E505B9"/>
    <w:rsid w:val="00E52793"/>
    <w:rsid w:val="00E5289F"/>
    <w:rsid w:val="00E55C71"/>
    <w:rsid w:val="00E67C81"/>
    <w:rsid w:val="00E761FD"/>
    <w:rsid w:val="00E809D9"/>
    <w:rsid w:val="00E85A60"/>
    <w:rsid w:val="00E90380"/>
    <w:rsid w:val="00E9580D"/>
    <w:rsid w:val="00E95B8C"/>
    <w:rsid w:val="00EA69CE"/>
    <w:rsid w:val="00EC00B0"/>
    <w:rsid w:val="00EC14F6"/>
    <w:rsid w:val="00EC539B"/>
    <w:rsid w:val="00ED78C0"/>
    <w:rsid w:val="00EE15D1"/>
    <w:rsid w:val="00EE6DDC"/>
    <w:rsid w:val="00EE7722"/>
    <w:rsid w:val="00EF09E2"/>
    <w:rsid w:val="00EF0CD2"/>
    <w:rsid w:val="00F10702"/>
    <w:rsid w:val="00F727C0"/>
    <w:rsid w:val="00F92E4C"/>
    <w:rsid w:val="00F95CBB"/>
    <w:rsid w:val="00FB5C8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AE83C95-3407-4ED0-A9A2-EB16C353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051454"/>
    <w:pPr>
      <w:ind w:left="720"/>
      <w:contextualSpacing/>
    </w:pPr>
  </w:style>
  <w:style w:type="paragraph" w:customStyle="1" w:styleId="Prfarten">
    <w:name w:val="Prüfarten"/>
    <w:basedOn w:val="Standard"/>
    <w:rsid w:val="00CF5E2D"/>
    <w:pPr>
      <w:tabs>
        <w:tab w:val="left" w:pos="284"/>
        <w:tab w:val="left" w:pos="851"/>
        <w:tab w:val="left" w:pos="3828"/>
        <w:tab w:val="left" w:pos="4395"/>
      </w:tabs>
      <w:ind w:left="567" w:hanging="283"/>
      <w:jc w:val="both"/>
    </w:pPr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BB4B-6D80-4793-9B20-CC925D78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1281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Karg, Annette</cp:lastModifiedBy>
  <cp:revision>10</cp:revision>
  <cp:lastPrinted>2019-05-09T11:58:00Z</cp:lastPrinted>
  <dcterms:created xsi:type="dcterms:W3CDTF">2019-09-02T13:06:00Z</dcterms:created>
  <dcterms:modified xsi:type="dcterms:W3CDTF">2023-03-01T15:28:00Z</dcterms:modified>
</cp:coreProperties>
</file>