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7"/>
        <w:gridCol w:w="1112"/>
        <w:gridCol w:w="693"/>
        <w:gridCol w:w="3122"/>
        <w:gridCol w:w="1264"/>
        <w:gridCol w:w="550"/>
        <w:gridCol w:w="1306"/>
        <w:gridCol w:w="5201"/>
      </w:tblGrid>
      <w:tr w:rsidR="00947CF3" w:rsidRPr="00611D1C" w:rsidTr="00172397">
        <w:trPr>
          <w:cantSplit/>
          <w:trHeight w:val="283"/>
          <w:tblHeader/>
        </w:trPr>
        <w:tc>
          <w:tcPr>
            <w:tcW w:w="3122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732697" w:rsidRDefault="00947CF3" w:rsidP="00732697">
            <w:pPr>
              <w:rPr>
                <w:b/>
                <w:sz w:val="20"/>
              </w:rPr>
            </w:pPr>
            <w:bookmarkStart w:id="0" w:name="_Toc507771178"/>
            <w:r w:rsidRPr="00732697">
              <w:rPr>
                <w:b/>
                <w:sz w:val="20"/>
              </w:rPr>
              <w:t>Name des Begutachters</w:t>
            </w:r>
            <w:r w:rsidR="00342869">
              <w:rPr>
                <w:b/>
                <w:sz w:val="20"/>
              </w:rPr>
              <w:t>:</w:t>
            </w:r>
          </w:p>
        </w:tc>
        <w:tc>
          <w:tcPr>
            <w:tcW w:w="3122" w:type="dxa"/>
            <w:tcBorders>
              <w:bottom w:val="nil"/>
            </w:tcBorders>
            <w:shd w:val="pct5" w:color="auto" w:fill="auto"/>
            <w:vAlign w:val="center"/>
          </w:tcPr>
          <w:p w:rsidR="00947CF3" w:rsidRPr="00732697" w:rsidRDefault="00947CF3" w:rsidP="00732697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 w:rsidR="00342869">
              <w:rPr>
                <w:b/>
                <w:bCs/>
                <w:sz w:val="2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732697" w:rsidRDefault="00947CF3" w:rsidP="00732697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 w:rsidR="00342869">
              <w:rPr>
                <w:b/>
                <w:bCs/>
                <w:sz w:val="20"/>
              </w:rPr>
              <w:t>:</w:t>
            </w:r>
          </w:p>
        </w:tc>
        <w:tc>
          <w:tcPr>
            <w:tcW w:w="705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732697" w:rsidRDefault="00655908" w:rsidP="009A45AC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A27876" w:rsidRPr="00A27876">
              <w:rPr>
                <w:sz w:val="18"/>
                <w:szCs w:val="18"/>
              </w:rPr>
              <w:t>Akademischer Abschluss</w:t>
            </w:r>
            <w:r w:rsidR="00A27876">
              <w:rPr>
                <w:sz w:val="18"/>
                <w:szCs w:val="18"/>
              </w:rPr>
              <w:t>,</w:t>
            </w:r>
            <w:r w:rsidR="00A27876" w:rsidRPr="00A27876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947CF3" w:rsidRPr="00E92FFA" w:rsidTr="00172397">
        <w:trPr>
          <w:cantSplit/>
          <w:trHeight w:val="283"/>
          <w:tblHeader/>
        </w:trPr>
        <w:tc>
          <w:tcPr>
            <w:tcW w:w="3122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32697" w:rsidRDefault="00BE14FC" w:rsidP="00EC14F6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2" w:name="_GoBack"/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bookmarkEnd w:id="2"/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732697" w:rsidRDefault="00BE14FC" w:rsidP="00EC14F6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2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732697" w:rsidRDefault="00BE14FC" w:rsidP="00EC14F6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057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E92FFA" w:rsidRDefault="00947CF3" w:rsidP="00EC14F6">
            <w:pPr>
              <w:rPr>
                <w:szCs w:val="22"/>
                <w:lang w:val="en-GB"/>
              </w:rPr>
            </w:pPr>
          </w:p>
        </w:tc>
      </w:tr>
      <w:tr w:rsidR="00655908" w:rsidRPr="00E92FFA" w:rsidTr="00172397">
        <w:trPr>
          <w:cantSplit/>
          <w:tblHeader/>
        </w:trPr>
        <w:tc>
          <w:tcPr>
            <w:tcW w:w="7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5908" w:rsidRPr="00655908" w:rsidRDefault="00655908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05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908" w:rsidRPr="00E92FFA" w:rsidRDefault="00655908" w:rsidP="00EC14F6">
            <w:pPr>
              <w:rPr>
                <w:szCs w:val="22"/>
                <w:lang w:val="en-GB"/>
              </w:rPr>
            </w:pPr>
          </w:p>
        </w:tc>
      </w:tr>
      <w:tr w:rsidR="007D0494" w:rsidRPr="00732697" w:rsidTr="00172397">
        <w:trPr>
          <w:cantSplit/>
          <w:tblHeader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494" w:rsidRPr="00732697" w:rsidRDefault="007D0494" w:rsidP="007D0494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494" w:rsidRPr="00732697" w:rsidRDefault="007D0494" w:rsidP="007D0494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494" w:rsidRPr="00732697" w:rsidRDefault="007D0494" w:rsidP="007D0494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494" w:rsidRPr="007740DA" w:rsidRDefault="007D0494" w:rsidP="001723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4046">
              <w:rPr>
                <w:rFonts w:asciiTheme="minorHAnsi" w:hAnsiTheme="minorHAnsi"/>
                <w:b/>
                <w:sz w:val="20"/>
              </w:rPr>
              <w:t>Zutreffenden Bereich</w:t>
            </w:r>
            <w:r w:rsidR="00172397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34046">
              <w:rPr>
                <w:rFonts w:asciiTheme="minorHAnsi" w:hAnsiTheme="minorHAnsi"/>
                <w:b/>
                <w:sz w:val="20"/>
              </w:rPr>
              <w:t>ankreuzen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494" w:rsidRPr="00732697" w:rsidRDefault="009A45AC" w:rsidP="009A45AC">
            <w:pPr>
              <w:ind w:left="1206" w:hanging="1206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655908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744AB3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655908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655908">
              <w:rPr>
                <w:rFonts w:asciiTheme="minorHAnsi" w:hAnsiTheme="minorHAnsi"/>
                <w:b/>
                <w:sz w:val="20"/>
              </w:rPr>
              <w:t>.</w:t>
            </w:r>
            <w:r w:rsidR="00655908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655908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Auditoren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55908" w:rsidRPr="006350FB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4104C">
            <w:pPr>
              <w:keepNext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Management-Personal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350FB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  <w:r w:rsidRPr="00E40179">
              <w:rPr>
                <w:rFonts w:cs="Times New Roman"/>
                <w:color w:val="000000"/>
                <w:sz w:val="20"/>
              </w:rPr>
              <w:t>Projektmanagement-Personal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655908" w:rsidRDefault="006350FB" w:rsidP="006350F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0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Default="006350FB" w:rsidP="007D04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350FB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  <w:r w:rsidRPr="00E40179">
              <w:rPr>
                <w:rFonts w:cs="Times New Roman"/>
                <w:color w:val="000000"/>
                <w:sz w:val="20"/>
              </w:rPr>
              <w:t>QM-Personal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732697" w:rsidRDefault="006350FB" w:rsidP="006350F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Default="006350FB" w:rsidP="007D04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350FB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  <w:r w:rsidRPr="00E40179">
              <w:rPr>
                <w:rFonts w:cs="Times New Roman"/>
                <w:color w:val="000000"/>
                <w:sz w:val="20"/>
              </w:rPr>
              <w:t>SGU-Personal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732697" w:rsidRDefault="006350FB" w:rsidP="006350F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Default="006350FB" w:rsidP="007D04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350FB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E40179" w:rsidRDefault="006350FB" w:rsidP="007D0494">
            <w:pPr>
              <w:rPr>
                <w:rFonts w:cs="Times New Roman"/>
                <w:color w:val="000000"/>
                <w:sz w:val="20"/>
              </w:rPr>
            </w:pPr>
            <w:r w:rsidRPr="00E40179">
              <w:rPr>
                <w:rFonts w:cs="Times New Roman"/>
                <w:color w:val="000000"/>
                <w:sz w:val="20"/>
              </w:rPr>
              <w:t>UM-Personal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Pr="00732697" w:rsidRDefault="006350FB" w:rsidP="006350F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FB" w:rsidRDefault="006350FB" w:rsidP="007D04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Druckgeräte-(Richtlinie 97/23/EG); neu: 2014/68/EU und BetrSichV – Druckanlagen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732697" w:rsidRDefault="00172397" w:rsidP="00373C4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732697" w:rsidRDefault="00655908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Fachpersonal Bau und Anlagen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Brandschutzsachverständige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Bauschäden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90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65590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asciiTheme="minorHAnsi" w:hAnsiTheme="minorHAnsi"/>
                <w:sz w:val="20"/>
                <w:lang w:val="en-US"/>
              </w:rPr>
            </w:pPr>
            <w:r w:rsidRPr="0065590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5590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55908">
              <w:rPr>
                <w:rFonts w:asciiTheme="minorHAnsi" w:hAnsiTheme="minorHAnsi"/>
                <w:sz w:val="20"/>
              </w:rPr>
            </w:r>
            <w:r w:rsidRPr="00655908">
              <w:rPr>
                <w:rFonts w:asciiTheme="minorHAnsi" w:hAnsiTheme="minorHAnsi"/>
                <w:sz w:val="20"/>
              </w:rPr>
              <w:fldChar w:fldCharType="separate"/>
            </w:r>
            <w:r w:rsidRPr="00655908">
              <w:rPr>
                <w:rFonts w:asciiTheme="minorHAnsi" w:hAnsiTheme="minorHAnsi"/>
                <w:noProof/>
                <w:sz w:val="20"/>
              </w:rPr>
              <w:t> </w:t>
            </w:r>
            <w:r w:rsidRPr="00655908">
              <w:rPr>
                <w:rFonts w:asciiTheme="minorHAnsi" w:hAnsiTheme="minorHAnsi"/>
                <w:noProof/>
                <w:sz w:val="20"/>
              </w:rPr>
              <w:t> </w:t>
            </w:r>
            <w:r w:rsidRPr="00655908">
              <w:rPr>
                <w:rFonts w:asciiTheme="minorHAnsi" w:hAnsiTheme="minorHAnsi"/>
                <w:noProof/>
                <w:sz w:val="20"/>
              </w:rPr>
              <w:t> </w:t>
            </w:r>
            <w:r w:rsidRPr="00655908">
              <w:rPr>
                <w:rFonts w:asciiTheme="minorHAnsi" w:hAnsiTheme="minorHAnsi"/>
                <w:noProof/>
                <w:sz w:val="20"/>
              </w:rPr>
              <w:t> </w:t>
            </w:r>
            <w:r w:rsidRPr="00655908">
              <w:rPr>
                <w:rFonts w:asciiTheme="minorHAnsi" w:hAnsiTheme="minorHAnsi"/>
                <w:noProof/>
                <w:sz w:val="20"/>
              </w:rPr>
              <w:t> </w:t>
            </w:r>
            <w:r w:rsidRPr="0065590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Betonschadensanierung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Garten und Landschaftsbau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55908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Gashochdruckleitungen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ED" w:rsidRPr="00313CED" w:rsidRDefault="00313CED" w:rsidP="00BE636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313CED">
              <w:rPr>
                <w:rFonts w:cs="Times New Roman"/>
                <w:b/>
                <w:color w:val="000000"/>
                <w:sz w:val="20"/>
              </w:rPr>
              <w:t>Fachpersonal Soziales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313CED" w:rsidRPr="00732697" w:rsidTr="00BE6360">
        <w:trPr>
          <w:cantSplit/>
          <w:trHeight w:val="226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keepNext/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keepNext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DB39E8">
              <w:rPr>
                <w:rFonts w:cs="Times New Roman"/>
                <w:b/>
                <w:color w:val="000000"/>
                <w:sz w:val="20"/>
              </w:rPr>
              <w:t>Prüfer nach § 12 j Absatz 2 Behindertengleichstellungsgesetz i.V.m. AHundV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ED" w:rsidRPr="00732697" w:rsidRDefault="00313CED" w:rsidP="00BE636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Default="00313CED" w:rsidP="00BE6360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Blindenführhunde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Default="00313CED" w:rsidP="00BE6360">
            <w:pPr>
              <w:rPr>
                <w:sz w:val="20"/>
              </w:rPr>
            </w:pPr>
            <w:r>
              <w:rPr>
                <w:sz w:val="20"/>
              </w:rPr>
              <w:t>Mobilitätsassistenzhunde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Default="00313CED" w:rsidP="00BE6360">
            <w:pPr>
              <w:rPr>
                <w:sz w:val="20"/>
              </w:rPr>
            </w:pPr>
            <w:r>
              <w:rPr>
                <w:sz w:val="20"/>
              </w:rPr>
              <w:t>PSB-Assistenzhunde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ED" w:rsidRPr="00732697" w:rsidRDefault="00313CED" w:rsidP="00BE636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Default="00313CED" w:rsidP="00BE6360">
            <w:pPr>
              <w:rPr>
                <w:sz w:val="20"/>
              </w:rPr>
            </w:pPr>
            <w:r>
              <w:rPr>
                <w:sz w:val="20"/>
              </w:rPr>
              <w:t>Signalassistenzhunde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13CED" w:rsidRPr="00732697" w:rsidTr="00BE6360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CED" w:rsidRPr="00524CE8" w:rsidRDefault="00313CED" w:rsidP="00BE6360">
            <w:pPr>
              <w:rPr>
                <w:rFonts w:cs="Times New Roman"/>
                <w:color w:val="000000"/>
                <w:sz w:val="20"/>
                <w:highlight w:val="yellow"/>
              </w:rPr>
            </w:pPr>
          </w:p>
        </w:tc>
        <w:tc>
          <w:tcPr>
            <w:tcW w:w="5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Default="00313CED" w:rsidP="00BE6360">
            <w:pPr>
              <w:rPr>
                <w:sz w:val="20"/>
              </w:rPr>
            </w:pPr>
            <w:r>
              <w:rPr>
                <w:sz w:val="20"/>
              </w:rPr>
              <w:t xml:space="preserve">Warn- und Anzeige-Assistenzhunde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ED" w:rsidRPr="00732697" w:rsidRDefault="00313CED" w:rsidP="00BE636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73CC3" w:rsidRPr="00732697" w:rsidTr="00DB39E8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CC3" w:rsidRPr="00655908" w:rsidRDefault="00773CC3" w:rsidP="00DB39E8">
            <w:pPr>
              <w:keepNext/>
              <w:tabs>
                <w:tab w:val="left" w:pos="1907"/>
                <w:tab w:val="center" w:pos="4721"/>
              </w:tabs>
              <w:rPr>
                <w:rFonts w:asciiTheme="minorHAnsi" w:hAnsiTheme="minorHAnsi"/>
                <w:sz w:val="20"/>
              </w:rPr>
            </w:pPr>
            <w:r w:rsidRPr="00773CC3">
              <w:rPr>
                <w:rFonts w:cs="Times New Roman"/>
                <w:b/>
                <w:color w:val="000000"/>
                <w:sz w:val="20"/>
              </w:rPr>
              <w:lastRenderedPageBreak/>
              <w:t>Finanzsysteme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732697" w:rsidRDefault="00773CC3" w:rsidP="00DB39E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73CC3" w:rsidRPr="00732697" w:rsidTr="00DB39E8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CC3" w:rsidRPr="00655908" w:rsidRDefault="00773CC3" w:rsidP="00DB39E8">
            <w:pPr>
              <w:keepNext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CC3" w:rsidRPr="00655908" w:rsidRDefault="00773CC3" w:rsidP="00DB39E8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DIN </w:t>
            </w:r>
            <w:r w:rsidRPr="00773CC3">
              <w:rPr>
                <w:rFonts w:cs="Times New Roman"/>
                <w:b/>
                <w:color w:val="000000"/>
                <w:sz w:val="20"/>
              </w:rPr>
              <w:t>77230 - Basis-Finanzanalyse für Privathaushalte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732697" w:rsidRDefault="00773CC3" w:rsidP="00DB39E8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773CC3" w:rsidRPr="00732697" w:rsidTr="00773CC3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E40179" w:rsidRDefault="00773CC3" w:rsidP="00DB39E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E40179" w:rsidRDefault="00773CC3" w:rsidP="00DB39E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6E0A03" w:rsidRDefault="00773CC3" w:rsidP="00DB39E8">
            <w:pPr>
              <w:rPr>
                <w:rFonts w:cs="Times New Roman"/>
                <w:color w:val="000000"/>
                <w:sz w:val="20"/>
              </w:rPr>
            </w:pPr>
            <w:r w:rsidRPr="00773CC3">
              <w:rPr>
                <w:rFonts w:cs="Times New Roman"/>
                <w:color w:val="000000"/>
                <w:sz w:val="20"/>
              </w:rPr>
              <w:t>Spezialist für private Finanzanalyse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732697" w:rsidRDefault="00773CC3" w:rsidP="00DB39E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C3" w:rsidRPr="00732697" w:rsidRDefault="00773CC3" w:rsidP="00DB39E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773CC3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655908" w:rsidRDefault="00655908" w:rsidP="0064104C">
            <w:pPr>
              <w:keepNext/>
              <w:tabs>
                <w:tab w:val="left" w:pos="1907"/>
                <w:tab w:val="center" w:pos="4721"/>
              </w:tabs>
              <w:rPr>
                <w:rFonts w:asciiTheme="minorHAnsi" w:hAnsiTheme="minorHAnsi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Fügetechnik / Zerstörungsfreie Prüfung (ZfP) / Korrosionsschutz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655908" w:rsidRDefault="00655908" w:rsidP="0064104C">
            <w:pPr>
              <w:keepNext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5908" w:rsidRPr="00655908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 xml:space="preserve">Personal für Fügetechnik und Zerstörungsfreie Prüfung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773CC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773CC3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E0A03" w:rsidRDefault="00655908" w:rsidP="00773CC3">
            <w:pPr>
              <w:keepNext/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 xml:space="preserve">Fachpersonal für Korrosion und Korrosionsschutz; </w:t>
            </w:r>
            <w:r w:rsidR="0064104C">
              <w:rPr>
                <w:rFonts w:cs="Times New Roman"/>
                <w:color w:val="000000"/>
                <w:sz w:val="20"/>
              </w:rPr>
              <w:br/>
            </w:r>
            <w:r w:rsidRPr="006E0A03">
              <w:rPr>
                <w:rFonts w:cs="Times New Roman"/>
                <w:color w:val="000000"/>
                <w:sz w:val="20"/>
              </w:rPr>
              <w:t>Teilgebiet Kathodischer Korrosionsschutz (KKS) nach DIN EN 15257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773CC3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773CC3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E0A03" w:rsidRDefault="00655908" w:rsidP="00134046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 xml:space="preserve">Personen für Fügetechnik und Schweißfachpersonal </w:t>
            </w:r>
            <w:r w:rsidR="00134046">
              <w:rPr>
                <w:rFonts w:cs="Times New Roman"/>
                <w:color w:val="000000"/>
                <w:sz w:val="20"/>
              </w:rPr>
              <w:br/>
            </w:r>
            <w:r w:rsidRPr="006E0A03">
              <w:rPr>
                <w:rFonts w:cs="Times New Roman"/>
                <w:color w:val="000000"/>
                <w:sz w:val="20"/>
              </w:rPr>
              <w:t>(EN 287-T1, ISO 9606 und ISO 14731)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Default="00655908" w:rsidP="0065590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4104C">
            <w:pPr>
              <w:rPr>
                <w:rFonts w:cs="Times New Roman"/>
                <w:color w:val="000000"/>
                <w:sz w:val="20"/>
              </w:rPr>
            </w:pPr>
            <w:r w:rsidRPr="00E40179">
              <w:rPr>
                <w:rFonts w:cs="Times New Roman"/>
                <w:color w:val="000000"/>
                <w:sz w:val="20"/>
              </w:rPr>
              <w:t>Personen für Zerstörungsfreie Prüfungen nach DIN EN ISO 9712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C0353C" w:rsidRDefault="00655908" w:rsidP="00655908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Default="00655908" w:rsidP="0065590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D53B0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3B0" w:rsidRPr="00732697" w:rsidRDefault="008D53B0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Gesundheitswesen, Personen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B0" w:rsidRPr="00732697" w:rsidRDefault="008D53B0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D53B0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3B0" w:rsidRPr="00E40179" w:rsidRDefault="008D53B0" w:rsidP="0064104C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3B0" w:rsidRPr="00732697" w:rsidRDefault="008D53B0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Fachpersonal Gesundheitswesen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B0" w:rsidRPr="00732697" w:rsidRDefault="008D53B0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E0A03" w:rsidRDefault="00655908" w:rsidP="00655908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Fachpersonal nach UV-Schutz-Verordnung (UVSV)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55908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E40179" w:rsidRDefault="00655908" w:rsidP="00655908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6E0A03" w:rsidRDefault="00655908" w:rsidP="00655908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Wundtherapeut/Wundassistent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Pr="00732697" w:rsidRDefault="00655908" w:rsidP="0065590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08" w:rsidRDefault="00655908" w:rsidP="0065590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922C78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64104C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922C78" w:rsidRDefault="000F049C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cs="Times New Roman"/>
                <w:b/>
                <w:color w:val="000000"/>
                <w:sz w:val="20"/>
              </w:rPr>
              <w:t>Fachpersonal nach der NiSV</w:t>
            </w:r>
            <w:r w:rsidRPr="00922C78">
              <w:rPr>
                <w:rStyle w:val="Endnotenzeichen"/>
                <w:rFonts w:cs="Times New Roman"/>
                <w:b/>
                <w:color w:val="000000"/>
                <w:sz w:val="20"/>
              </w:rPr>
              <w:endnoteReference w:id="1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049C" w:rsidRPr="00922C78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922C78">
              <w:rPr>
                <w:rFonts w:cs="Times New Roman"/>
                <w:color w:val="000000"/>
                <w:sz w:val="20"/>
              </w:rPr>
              <w:t>Grundlagen der Haut und deren Anhangsgebilde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7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asciiTheme="minorHAnsi" w:hAnsiTheme="minorHAnsi"/>
                <w:sz w:val="20"/>
              </w:rPr>
            </w:pPr>
            <w:r w:rsidRPr="00922C7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2C7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22C78">
              <w:rPr>
                <w:rFonts w:asciiTheme="minorHAnsi" w:hAnsiTheme="minorHAnsi"/>
                <w:sz w:val="20"/>
              </w:rPr>
            </w:r>
            <w:r w:rsidRPr="00922C78">
              <w:rPr>
                <w:rFonts w:asciiTheme="minorHAnsi" w:hAnsiTheme="minorHAnsi"/>
                <w:sz w:val="20"/>
              </w:rPr>
              <w:fldChar w:fldCharType="separate"/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922C78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922C78">
              <w:rPr>
                <w:rFonts w:cs="Times New Roman"/>
                <w:color w:val="000000"/>
                <w:sz w:val="20"/>
              </w:rPr>
              <w:t>Optische Strahlung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7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 w:rsidRPr="00922C7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2C7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22C78">
              <w:rPr>
                <w:rFonts w:asciiTheme="minorHAnsi" w:hAnsiTheme="minorHAnsi"/>
                <w:sz w:val="20"/>
              </w:rPr>
            </w:r>
            <w:r w:rsidRPr="00922C78">
              <w:rPr>
                <w:rFonts w:asciiTheme="minorHAnsi" w:hAnsiTheme="minorHAnsi"/>
                <w:sz w:val="20"/>
              </w:rPr>
              <w:fldChar w:fldCharType="separate"/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922C78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E7AF1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922C78">
              <w:rPr>
                <w:rFonts w:cs="HelveticaNeueLTW1G-Roman_1"/>
                <w:sz w:val="20"/>
              </w:rPr>
              <w:t>EMF (Hochfrequenzgeräte) in der Kosmetik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7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 w:rsidRPr="00922C7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2C7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22C78">
              <w:rPr>
                <w:rFonts w:asciiTheme="minorHAnsi" w:hAnsiTheme="minorHAnsi"/>
                <w:sz w:val="20"/>
              </w:rPr>
            </w:r>
            <w:r w:rsidRPr="00922C78">
              <w:rPr>
                <w:rFonts w:asciiTheme="minorHAnsi" w:hAnsiTheme="minorHAnsi"/>
                <w:sz w:val="20"/>
              </w:rPr>
              <w:fldChar w:fldCharType="separate"/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922C78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  <w:r w:rsidRPr="00922C78">
              <w:rPr>
                <w:rFonts w:cs="HelveticaNeueLTW1G-Roman_1"/>
                <w:sz w:val="20"/>
              </w:rPr>
              <w:t xml:space="preserve">EMF (Niederfrequenz-, Gleichstrom- oder Magnetfeldgeräte) </w:t>
            </w:r>
            <w:r w:rsidR="009A45AC">
              <w:rPr>
                <w:rFonts w:cs="HelveticaNeueLTW1G-Roman_1"/>
                <w:sz w:val="20"/>
              </w:rPr>
              <w:br/>
            </w:r>
            <w:r w:rsidRPr="00922C78">
              <w:rPr>
                <w:rFonts w:cs="HelveticaNeueLTW1G-Roman_1"/>
                <w:sz w:val="20"/>
              </w:rPr>
              <w:t>zur Stimulation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7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 w:rsidRPr="00922C7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2C7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22C78">
              <w:rPr>
                <w:rFonts w:asciiTheme="minorHAnsi" w:hAnsiTheme="minorHAnsi"/>
                <w:sz w:val="20"/>
              </w:rPr>
            </w:r>
            <w:r w:rsidRPr="00922C78">
              <w:rPr>
                <w:rFonts w:asciiTheme="minorHAnsi" w:hAnsiTheme="minorHAnsi"/>
                <w:sz w:val="20"/>
              </w:rPr>
              <w:fldChar w:fldCharType="separate"/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  <w:r w:rsidRPr="00922C78">
              <w:rPr>
                <w:rFonts w:cs="HelveticaNeueLTW1G-Roman_1"/>
                <w:sz w:val="20"/>
              </w:rPr>
              <w:t>Ultraschall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922C78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78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922C78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 w:rsidRPr="00922C78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22C7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22C78">
              <w:rPr>
                <w:rFonts w:asciiTheme="minorHAnsi" w:hAnsiTheme="minorHAnsi"/>
                <w:sz w:val="20"/>
              </w:rPr>
            </w:r>
            <w:r w:rsidRPr="00922C78">
              <w:rPr>
                <w:rFonts w:asciiTheme="minorHAnsi" w:hAnsiTheme="minorHAnsi"/>
                <w:sz w:val="20"/>
              </w:rPr>
              <w:fldChar w:fldCharType="separate"/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noProof/>
                <w:sz w:val="20"/>
              </w:rPr>
              <w:t> </w:t>
            </w:r>
            <w:r w:rsidRPr="00922C78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lastRenderedPageBreak/>
              <w:t>Immobilienwirtschaft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64104C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64104C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Immobilienbewertung, Gebäudewirtschaft und Bautechnik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373C4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E0A03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Bautechnik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E0A03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Gebäudewirtschaft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Default="000F049C" w:rsidP="000F049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E0A03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Immobilienbewertung,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Personenzertifizierungsprogramme IT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Usability Experten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für Lebensmittel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Sensorische Sachverständige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Verkehr / Kfz.-Sachverständige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64104C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64104C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Fachpersonal Verkehrssysteme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373C4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64104C">
            <w:pPr>
              <w:keepNext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655908" w:rsidRDefault="000F049C" w:rsidP="0064104C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655908">
              <w:rPr>
                <w:rFonts w:cs="Times New Roman"/>
                <w:b/>
                <w:color w:val="000000"/>
                <w:sz w:val="20"/>
              </w:rPr>
              <w:t>Sachverständige für Kraftfahrzeuge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9C" w:rsidRPr="00732697" w:rsidRDefault="000F049C" w:rsidP="00373C4C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64104C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E40179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6E0A03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6E0A03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6E0A03">
              <w:rPr>
                <w:rFonts w:cs="Times New Roman"/>
                <w:color w:val="000000"/>
                <w:sz w:val="20"/>
              </w:rPr>
              <w:t>Kfz.-Schäden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049C" w:rsidRPr="002F39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49C" w:rsidRPr="002F39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2F3978" w:rsidRDefault="000F049C" w:rsidP="000F049C">
            <w:pPr>
              <w:rPr>
                <w:rFonts w:cs="Times New Roman"/>
                <w:color w:val="000000"/>
                <w:sz w:val="20"/>
              </w:rPr>
            </w:pPr>
            <w:r w:rsidRPr="002F3978">
              <w:rPr>
                <w:rFonts w:cs="Times New Roman"/>
                <w:color w:val="000000"/>
                <w:sz w:val="20"/>
              </w:rPr>
              <w:t>Kfz.-Unfallrekonstruktion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F049C" w:rsidRPr="00732697" w:rsidTr="00172397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2F3978" w:rsidRDefault="000F049C" w:rsidP="000F049C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2F3978" w:rsidRDefault="000F049C" w:rsidP="000F049C">
            <w:pPr>
              <w:rPr>
                <w:rFonts w:cs="Times New Roman"/>
                <w:b/>
                <w:color w:val="000000"/>
                <w:sz w:val="20"/>
              </w:rPr>
            </w:pPr>
            <w:r w:rsidRPr="002F3978">
              <w:rPr>
                <w:rFonts w:cs="Times New Roman"/>
                <w:b/>
                <w:color w:val="000000"/>
                <w:sz w:val="20"/>
              </w:rPr>
              <w:t>Trainer Verkehrssysteme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7299B">
              <w:rPr>
                <w:rFonts w:asciiTheme="minorHAnsi" w:hAnsiTheme="minorHAnsi"/>
                <w:sz w:val="20"/>
                <w:lang w:val="en-GB"/>
              </w:rPr>
            </w:r>
            <w:r w:rsidR="00B7299B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9C" w:rsidRPr="00732697" w:rsidRDefault="000F049C" w:rsidP="000F049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CA2EB3" w:rsidRPr="00611D1C" w:rsidRDefault="00CA2EB3" w:rsidP="00DB39E8">
      <w:pPr>
        <w:keepNext/>
        <w:spacing w:before="36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CA2EB3" w:rsidRDefault="00CA2EB3" w:rsidP="00CA2EB3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A2EB3" w:rsidRPr="00DD4219" w:rsidRDefault="00CA2EB3" w:rsidP="009E7AF1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7739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83"/>
        <w:gridCol w:w="4678"/>
      </w:tblGrid>
      <w:tr w:rsidR="00CA2EB3" w:rsidRPr="00601528" w:rsidTr="009E7AF1">
        <w:trPr>
          <w:cantSplit/>
          <w:trHeight w:val="340"/>
        </w:trPr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CA2EB3" w:rsidRPr="00601528" w:rsidRDefault="00CA2EB3" w:rsidP="001F21F4">
            <w:pPr>
              <w:keepNext/>
              <w:spacing w:before="60" w:after="60"/>
              <w:rPr>
                <w:b/>
                <w:bCs/>
                <w:sz w:val="20"/>
                <w:szCs w:val="36"/>
              </w:rPr>
            </w:pPr>
            <w:r w:rsidRPr="00437F50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>
              <w:rPr>
                <w:szCs w:val="22"/>
                <w:lang w:val="en-GB"/>
              </w:rPr>
              <w:instrText>FORMTEXT</w:instrText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 w:rsidRPr="00437F50">
              <w:rPr>
                <w:szCs w:val="22"/>
                <w:lang w:val="en-GB"/>
              </w:rPr>
            </w:r>
            <w:r w:rsidRPr="00437F50">
              <w:rPr>
                <w:szCs w:val="22"/>
                <w:lang w:val="en-GB"/>
              </w:rPr>
              <w:fldChar w:fldCharType="separate"/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2EB3" w:rsidRPr="00601528" w:rsidRDefault="00CA2EB3" w:rsidP="001F21F4">
            <w:pPr>
              <w:keepNext/>
              <w:spacing w:before="60" w:after="60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CA2EB3" w:rsidRPr="0032452C" w:rsidRDefault="00CA2EB3" w:rsidP="00313CED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>g</w:t>
            </w:r>
            <w:r w:rsidRPr="0032452C">
              <w:rPr>
                <w:szCs w:val="22"/>
              </w:rPr>
              <w:t>ez.</w:t>
            </w:r>
            <w:r>
              <w:rPr>
                <w:szCs w:val="22"/>
              </w:rPr>
              <w:t xml:space="preserve"> </w:t>
            </w:r>
            <w:r w:rsidRPr="00437F50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>
              <w:rPr>
                <w:szCs w:val="22"/>
                <w:lang w:val="en-GB"/>
              </w:rPr>
              <w:instrText>FORMTEXT</w:instrText>
            </w:r>
            <w:r w:rsidRPr="00437F50">
              <w:rPr>
                <w:szCs w:val="22"/>
                <w:lang w:val="en-GB"/>
              </w:rPr>
              <w:instrText xml:space="preserve"> </w:instrText>
            </w:r>
            <w:r w:rsidRPr="00437F50">
              <w:rPr>
                <w:szCs w:val="22"/>
                <w:lang w:val="en-GB"/>
              </w:rPr>
            </w:r>
            <w:r w:rsidRPr="00437F50">
              <w:rPr>
                <w:szCs w:val="22"/>
                <w:lang w:val="en-GB"/>
              </w:rPr>
              <w:fldChar w:fldCharType="separate"/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noProof/>
                <w:szCs w:val="22"/>
                <w:lang w:val="en-GB"/>
              </w:rPr>
              <w:t> </w:t>
            </w:r>
            <w:r w:rsidRPr="00437F50">
              <w:rPr>
                <w:szCs w:val="22"/>
                <w:lang w:val="en-GB"/>
              </w:rPr>
              <w:fldChar w:fldCharType="end"/>
            </w:r>
          </w:p>
        </w:tc>
      </w:tr>
      <w:tr w:rsidR="00CA2EB3" w:rsidRPr="00601528" w:rsidTr="001F21F4">
        <w:trPr>
          <w:cantSplit/>
          <w:trHeight w:val="306"/>
        </w:trPr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CA2EB3" w:rsidRPr="00601528" w:rsidRDefault="00CA2EB3" w:rsidP="001F21F4">
            <w:pPr>
              <w:keepNext/>
              <w:spacing w:after="60"/>
              <w:rPr>
                <w:b/>
                <w:bCs/>
                <w:sz w:val="20"/>
                <w:szCs w:val="36"/>
              </w:rPr>
            </w:pPr>
            <w:r w:rsidRPr="00601528">
              <w:rPr>
                <w:b/>
                <w:bCs/>
                <w:sz w:val="20"/>
                <w:szCs w:val="36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2EB3" w:rsidRPr="00601528" w:rsidRDefault="00CA2EB3" w:rsidP="001F21F4">
            <w:pPr>
              <w:keepNext/>
              <w:spacing w:after="60"/>
              <w:rPr>
                <w:b/>
                <w:bCs/>
                <w:sz w:val="20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A2EB3" w:rsidRPr="0032452C" w:rsidRDefault="00CA2EB3" w:rsidP="009A45AC">
            <w:pPr>
              <w:keepNext/>
              <w:spacing w:after="60"/>
              <w:rPr>
                <w:b/>
                <w:bCs/>
                <w:sz w:val="20"/>
                <w:szCs w:val="36"/>
                <w:vertAlign w:val="superscript"/>
              </w:rPr>
            </w:pPr>
            <w:r>
              <w:rPr>
                <w:b/>
                <w:bCs/>
                <w:sz w:val="20"/>
                <w:szCs w:val="36"/>
              </w:rPr>
              <w:t>Name des Begutachters/Fachexperten</w:t>
            </w:r>
            <w:bookmarkStart w:id="5" w:name="_Ref118731380"/>
            <w:r w:rsidR="009A45AC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172397" w:rsidRDefault="00172397" w:rsidP="00172397"/>
    <w:p w:rsidR="000C33F9" w:rsidRDefault="000C33F9" w:rsidP="00172397">
      <w:pPr>
        <w:keepNext/>
        <w:spacing w:after="120"/>
      </w:pPr>
      <w:r w:rsidRPr="00ED5996">
        <w:t>Zustimmung durch den Fachbereichsverantwortlichen (FBV) zum oben abgezeichneten Benennungsumfang.</w:t>
      </w:r>
    </w:p>
    <w:tbl>
      <w:tblPr>
        <w:tblW w:w="488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</w:tblGrid>
      <w:tr w:rsidR="000C33F9" w:rsidRPr="008C4F52" w:rsidTr="00172397">
        <w:trPr>
          <w:cantSplit/>
          <w:trHeight w:val="1077"/>
        </w:trPr>
        <w:tc>
          <w:tcPr>
            <w:tcW w:w="4886" w:type="dxa"/>
            <w:tcBorders>
              <w:top w:val="nil"/>
              <w:bottom w:val="single" w:sz="4" w:space="0" w:color="auto"/>
            </w:tcBorders>
          </w:tcPr>
          <w:p w:rsidR="002F3978" w:rsidRPr="008C4F52" w:rsidRDefault="002F3978" w:rsidP="000F049C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C33F9" w:rsidRPr="008C4F52" w:rsidTr="000F049C">
        <w:trPr>
          <w:cantSplit/>
          <w:trHeight w:val="306"/>
        </w:trPr>
        <w:tc>
          <w:tcPr>
            <w:tcW w:w="4886" w:type="dxa"/>
            <w:tcBorders>
              <w:top w:val="single" w:sz="4" w:space="0" w:color="auto"/>
              <w:bottom w:val="nil"/>
            </w:tcBorders>
          </w:tcPr>
          <w:p w:rsidR="000C33F9" w:rsidRPr="008C4F52" w:rsidRDefault="009A45AC" w:rsidP="009A45AC">
            <w:pPr>
              <w:keepNext/>
              <w:spacing w:after="6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E</w:t>
            </w:r>
            <w:r w:rsidR="000C33F9">
              <w:rPr>
                <w:b/>
                <w:bCs/>
                <w:sz w:val="20"/>
              </w:rPr>
              <w:t>lektr</w:t>
            </w:r>
            <w:r>
              <w:rPr>
                <w:b/>
                <w:bCs/>
                <w:sz w:val="20"/>
              </w:rPr>
              <w:t>onische</w:t>
            </w:r>
            <w:r w:rsidR="000C33F9">
              <w:rPr>
                <w:b/>
                <w:bCs/>
                <w:sz w:val="20"/>
              </w:rPr>
              <w:t xml:space="preserve"> Unterschrift </w:t>
            </w:r>
            <w:r w:rsidR="000C33F9" w:rsidRPr="00706D20">
              <w:rPr>
                <w:b/>
                <w:bCs/>
                <w:sz w:val="20"/>
              </w:rPr>
              <w:t>F</w:t>
            </w:r>
            <w:r w:rsidR="000C33F9">
              <w:rPr>
                <w:b/>
                <w:bCs/>
                <w:sz w:val="20"/>
              </w:rPr>
              <w:t>BV</w:t>
            </w:r>
            <w:r w:rsidRPr="009A45AC">
              <w:rPr>
                <w:b/>
                <w:bCs/>
                <w:sz w:val="20"/>
                <w:vertAlign w:val="superscript"/>
              </w:rPr>
              <w:t>2</w:t>
            </w:r>
          </w:p>
        </w:tc>
      </w:tr>
      <w:bookmarkEnd w:id="0"/>
    </w:tbl>
    <w:p w:rsidR="000C33F9" w:rsidRPr="009A45AC" w:rsidRDefault="000C33F9" w:rsidP="000C33F9">
      <w:pPr>
        <w:keepNext/>
        <w:jc w:val="both"/>
        <w:rPr>
          <w:iCs/>
          <w:szCs w:val="22"/>
        </w:rPr>
      </w:pPr>
    </w:p>
    <w:sectPr w:rsidR="000C33F9" w:rsidRPr="009A45AC" w:rsidSect="009A45AC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8" w:rsidRDefault="00DB39E8">
      <w:r>
        <w:separator/>
      </w:r>
    </w:p>
  </w:endnote>
  <w:endnote w:type="continuationSeparator" w:id="0">
    <w:p w:rsidR="00DB39E8" w:rsidRDefault="00DB39E8">
      <w:r>
        <w:continuationSeparator/>
      </w:r>
    </w:p>
  </w:endnote>
  <w:endnote w:id="1">
    <w:p w:rsidR="00DB39E8" w:rsidRPr="009A45AC" w:rsidRDefault="00DB39E8" w:rsidP="00172397">
      <w:pPr>
        <w:pStyle w:val="Endnotentext"/>
        <w:spacing w:before="60" w:after="60"/>
        <w:rPr>
          <w:sz w:val="18"/>
          <w:szCs w:val="18"/>
        </w:rPr>
      </w:pPr>
      <w:r w:rsidRPr="009A45AC">
        <w:rPr>
          <w:rStyle w:val="Endnotenzeichen"/>
          <w:sz w:val="18"/>
          <w:szCs w:val="18"/>
        </w:rPr>
        <w:endnoteRef/>
      </w:r>
      <w:r w:rsidRPr="009A45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A45AC">
        <w:rPr>
          <w:rStyle w:val="gesetznormueberschrift"/>
          <w:sz w:val="18"/>
          <w:szCs w:val="18"/>
        </w:rPr>
        <w:t>Verordnung zum Schutz vor schädlichen Wirkungen nichtionisierender Strahlung bei der Anwendung am Menschen (NiSV)</w:t>
      </w:r>
    </w:p>
  </w:endnote>
  <w:endnote w:id="2">
    <w:p w:rsidR="00DB39E8" w:rsidRPr="009A45AC" w:rsidRDefault="00DB39E8" w:rsidP="009A45AC">
      <w:pPr>
        <w:pStyle w:val="Endnotentext"/>
        <w:rPr>
          <w:sz w:val="18"/>
          <w:szCs w:val="18"/>
        </w:rPr>
      </w:pPr>
      <w:r w:rsidRPr="009A45AC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Pr="009A45AC">
        <w:rPr>
          <w:sz w:val="18"/>
          <w:szCs w:val="18"/>
        </w:rPr>
        <w:t xml:space="preserve"> </w:t>
      </w:r>
      <w:r w:rsidRPr="009A45AC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W1G-Roman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E8" w:rsidRPr="00357D48" w:rsidRDefault="00DB39E8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DB39E8" w:rsidRDefault="00DB39E8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DB39E8" w:rsidRDefault="00DB39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8" w:rsidRDefault="00DB39E8">
      <w:r>
        <w:separator/>
      </w:r>
    </w:p>
  </w:footnote>
  <w:footnote w:type="continuationSeparator" w:id="0">
    <w:p w:rsidR="00DB39E8" w:rsidRDefault="00DB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1"/>
      <w:gridCol w:w="10117"/>
      <w:gridCol w:w="1111"/>
      <w:gridCol w:w="1111"/>
    </w:tblGrid>
    <w:tr w:rsidR="00DB39E8" w:rsidRPr="004E27C4" w:rsidTr="009A45AC">
      <w:trPr>
        <w:cantSplit/>
      </w:trPr>
      <w:tc>
        <w:tcPr>
          <w:tcW w:w="2268" w:type="dxa"/>
          <w:vMerge w:val="restart"/>
          <w:vAlign w:val="center"/>
        </w:tcPr>
        <w:p w:rsidR="00DB39E8" w:rsidRPr="006B07B0" w:rsidRDefault="00DB39E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DB39E8" w:rsidRPr="004E27C4" w:rsidRDefault="00DB39E8" w:rsidP="00313CED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Benennungsumfang </w:t>
          </w:r>
          <w:r w:rsidRPr="004E27C4">
            <w:rPr>
              <w:b/>
            </w:rPr>
            <w:t>für Begutachter</w:t>
          </w:r>
          <w:r>
            <w:rPr>
              <w:b/>
            </w:rPr>
            <w:t>/Fachexperten im Fach</w:t>
          </w:r>
          <w:r w:rsidR="00313CED">
            <w:rPr>
              <w:b/>
            </w:rPr>
            <w:t>gebiet</w:t>
          </w:r>
          <w:r w:rsidR="00313CED">
            <w:rPr>
              <w:b/>
            </w:rPr>
            <w:br/>
          </w:r>
          <w:r w:rsidRPr="00CB0EBB">
            <w:rPr>
              <w:b/>
            </w:rPr>
            <w:t>Personen-Zertifizierung</w:t>
          </w:r>
        </w:p>
      </w:tc>
      <w:tc>
        <w:tcPr>
          <w:tcW w:w="2268" w:type="dxa"/>
          <w:gridSpan w:val="2"/>
        </w:tcPr>
        <w:p w:rsidR="00DB39E8" w:rsidRPr="00134046" w:rsidRDefault="00DB39E8" w:rsidP="00EC14F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134046">
            <w:rPr>
              <w:rFonts w:ascii="Calibri" w:hAnsi="Calibri" w:cs="Arial"/>
              <w:b/>
              <w:sz w:val="18"/>
              <w:szCs w:val="18"/>
            </w:rPr>
            <w:t>44</w:t>
          </w:r>
        </w:p>
      </w:tc>
    </w:tr>
    <w:tr w:rsidR="00DB39E8" w:rsidRPr="004E27C4" w:rsidTr="009A45AC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DB39E8" w:rsidRPr="00134046" w:rsidRDefault="00DB39E8" w:rsidP="009A45A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134046">
            <w:rPr>
              <w:rFonts w:ascii="Calibri" w:hAnsi="Calibri" w:cs="Arial"/>
              <w:bCs/>
              <w:sz w:val="16"/>
            </w:rPr>
            <w:t>1.</w:t>
          </w:r>
          <w:r w:rsidR="00313CED">
            <w:rPr>
              <w:rFonts w:ascii="Calibri" w:hAnsi="Calibri" w:cs="Arial"/>
              <w:bCs/>
              <w:sz w:val="16"/>
            </w:rPr>
            <w:t>3</w:t>
          </w:r>
        </w:p>
      </w:tc>
    </w:tr>
    <w:tr w:rsidR="00DB39E8" w:rsidRPr="00732443" w:rsidTr="009A45AC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B39E8" w:rsidRPr="00BE14FC" w:rsidRDefault="00DB39E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DB39E8" w:rsidRPr="00134046" w:rsidRDefault="00313CED" w:rsidP="003F7E3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23.02.2024</w:t>
          </w:r>
        </w:p>
      </w:tc>
    </w:tr>
    <w:tr w:rsidR="00DB39E8" w:rsidRPr="004E27C4" w:rsidTr="009A45AC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7299B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7299B">
            <w:rPr>
              <w:rStyle w:val="Seitenzahl"/>
              <w:rFonts w:ascii="Calibri" w:hAnsi="Calibri" w:cs="Arial"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DB39E8" w:rsidRPr="009A45AC" w:rsidRDefault="00DB39E8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DB39E8" w:rsidRPr="004E27C4">
      <w:trPr>
        <w:cantSplit/>
      </w:trPr>
      <w:tc>
        <w:tcPr>
          <w:tcW w:w="2770" w:type="dxa"/>
          <w:vMerge w:val="restart"/>
          <w:vAlign w:val="center"/>
        </w:tcPr>
        <w:p w:rsidR="00DB39E8" w:rsidRPr="006B07B0" w:rsidRDefault="00DB39E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DB39E8" w:rsidRPr="004E27C4" w:rsidRDefault="00DB39E8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DB39E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DB39E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DB39E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DB39E8" w:rsidRPr="006B07B0" w:rsidRDefault="00DB39E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DB39E8" w:rsidRPr="006B07B0" w:rsidRDefault="00DB39E8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DB39E8" w:rsidRPr="004E27C4" w:rsidRDefault="00DB39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561"/>
    <w:multiLevelType w:val="hybridMultilevel"/>
    <w:tmpl w:val="79BA5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zuanHrwAu4Xw4pfwrGo+rOLj6Js6obeB0q1RzR5CkjIdjHEJVeZSji42nps79YlI1zijXl4KbRF3IirNI5haWQ==" w:salt="b9BsfewisoGFH1bsek66hw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50A7"/>
    <w:rsid w:val="000466A1"/>
    <w:rsid w:val="00075FE6"/>
    <w:rsid w:val="000A5E70"/>
    <w:rsid w:val="000C0851"/>
    <w:rsid w:val="000C33F9"/>
    <w:rsid w:val="000F049C"/>
    <w:rsid w:val="00106E03"/>
    <w:rsid w:val="00110416"/>
    <w:rsid w:val="00116034"/>
    <w:rsid w:val="001323CB"/>
    <w:rsid w:val="00134046"/>
    <w:rsid w:val="00135ACA"/>
    <w:rsid w:val="00137D6A"/>
    <w:rsid w:val="00140D07"/>
    <w:rsid w:val="00141431"/>
    <w:rsid w:val="00143F71"/>
    <w:rsid w:val="00150C84"/>
    <w:rsid w:val="0015310F"/>
    <w:rsid w:val="001603F0"/>
    <w:rsid w:val="00172397"/>
    <w:rsid w:val="00186218"/>
    <w:rsid w:val="001B55B1"/>
    <w:rsid w:val="001F2026"/>
    <w:rsid w:val="001F21F4"/>
    <w:rsid w:val="0020242D"/>
    <w:rsid w:val="002062C1"/>
    <w:rsid w:val="002259EC"/>
    <w:rsid w:val="00233C9B"/>
    <w:rsid w:val="00243E20"/>
    <w:rsid w:val="00252E43"/>
    <w:rsid w:val="002609C5"/>
    <w:rsid w:val="00267865"/>
    <w:rsid w:val="0027351C"/>
    <w:rsid w:val="002863EA"/>
    <w:rsid w:val="00291DCB"/>
    <w:rsid w:val="002A3FE9"/>
    <w:rsid w:val="002D7ECA"/>
    <w:rsid w:val="002F3978"/>
    <w:rsid w:val="00313CED"/>
    <w:rsid w:val="003173F2"/>
    <w:rsid w:val="003274C9"/>
    <w:rsid w:val="00340C9F"/>
    <w:rsid w:val="00341397"/>
    <w:rsid w:val="00342869"/>
    <w:rsid w:val="0034313B"/>
    <w:rsid w:val="00353812"/>
    <w:rsid w:val="00364DA3"/>
    <w:rsid w:val="0036609A"/>
    <w:rsid w:val="00370480"/>
    <w:rsid w:val="00373C4C"/>
    <w:rsid w:val="00383BC1"/>
    <w:rsid w:val="003B02F8"/>
    <w:rsid w:val="003F5518"/>
    <w:rsid w:val="003F7E38"/>
    <w:rsid w:val="00412731"/>
    <w:rsid w:val="004135ED"/>
    <w:rsid w:val="00416A9F"/>
    <w:rsid w:val="00452614"/>
    <w:rsid w:val="00455C0E"/>
    <w:rsid w:val="00477CC4"/>
    <w:rsid w:val="004A489B"/>
    <w:rsid w:val="004B0DA1"/>
    <w:rsid w:val="004C34A2"/>
    <w:rsid w:val="004D2C96"/>
    <w:rsid w:val="005004E8"/>
    <w:rsid w:val="005035F7"/>
    <w:rsid w:val="00524CE8"/>
    <w:rsid w:val="00572BE3"/>
    <w:rsid w:val="005B42D4"/>
    <w:rsid w:val="005C6591"/>
    <w:rsid w:val="005E263E"/>
    <w:rsid w:val="005E55AB"/>
    <w:rsid w:val="006350FB"/>
    <w:rsid w:val="0064104C"/>
    <w:rsid w:val="006550F7"/>
    <w:rsid w:val="00655908"/>
    <w:rsid w:val="0066781A"/>
    <w:rsid w:val="00697D58"/>
    <w:rsid w:val="006A13E1"/>
    <w:rsid w:val="006B07B0"/>
    <w:rsid w:val="006B0C6E"/>
    <w:rsid w:val="006B1D28"/>
    <w:rsid w:val="006C7336"/>
    <w:rsid w:val="006D22FB"/>
    <w:rsid w:val="006D790D"/>
    <w:rsid w:val="006E0A03"/>
    <w:rsid w:val="006E29B1"/>
    <w:rsid w:val="006F76EF"/>
    <w:rsid w:val="007063A5"/>
    <w:rsid w:val="00716DFA"/>
    <w:rsid w:val="00717FEE"/>
    <w:rsid w:val="00732443"/>
    <w:rsid w:val="00732697"/>
    <w:rsid w:val="00744AB3"/>
    <w:rsid w:val="007532A4"/>
    <w:rsid w:val="00754EF3"/>
    <w:rsid w:val="00773CC3"/>
    <w:rsid w:val="0079080A"/>
    <w:rsid w:val="007925E4"/>
    <w:rsid w:val="0079348C"/>
    <w:rsid w:val="00796F47"/>
    <w:rsid w:val="007A72F7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61AB4"/>
    <w:rsid w:val="00862841"/>
    <w:rsid w:val="00894099"/>
    <w:rsid w:val="0089678F"/>
    <w:rsid w:val="008B109F"/>
    <w:rsid w:val="008D0BFC"/>
    <w:rsid w:val="008D325A"/>
    <w:rsid w:val="008D53B0"/>
    <w:rsid w:val="008E0417"/>
    <w:rsid w:val="008E7E3F"/>
    <w:rsid w:val="008F491F"/>
    <w:rsid w:val="008F62FD"/>
    <w:rsid w:val="00920265"/>
    <w:rsid w:val="00922C78"/>
    <w:rsid w:val="00926C17"/>
    <w:rsid w:val="00947CF3"/>
    <w:rsid w:val="009524A1"/>
    <w:rsid w:val="00953D66"/>
    <w:rsid w:val="00976681"/>
    <w:rsid w:val="00991AC2"/>
    <w:rsid w:val="009952F3"/>
    <w:rsid w:val="009A45AC"/>
    <w:rsid w:val="009B0F6E"/>
    <w:rsid w:val="009E7AF1"/>
    <w:rsid w:val="009F2C1F"/>
    <w:rsid w:val="00A10568"/>
    <w:rsid w:val="00A122FC"/>
    <w:rsid w:val="00A12559"/>
    <w:rsid w:val="00A23A28"/>
    <w:rsid w:val="00A261F7"/>
    <w:rsid w:val="00A27876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C1B2B"/>
    <w:rsid w:val="00AE4FF9"/>
    <w:rsid w:val="00B50323"/>
    <w:rsid w:val="00B5106E"/>
    <w:rsid w:val="00B51096"/>
    <w:rsid w:val="00B63A58"/>
    <w:rsid w:val="00B7299B"/>
    <w:rsid w:val="00B84EBA"/>
    <w:rsid w:val="00B905B9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532E5"/>
    <w:rsid w:val="00C57212"/>
    <w:rsid w:val="00C63AC8"/>
    <w:rsid w:val="00C746BA"/>
    <w:rsid w:val="00C83C31"/>
    <w:rsid w:val="00C9698E"/>
    <w:rsid w:val="00C97504"/>
    <w:rsid w:val="00CA2EB3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A6F1A"/>
    <w:rsid w:val="00DA7B9A"/>
    <w:rsid w:val="00DB39E8"/>
    <w:rsid w:val="00DC3B97"/>
    <w:rsid w:val="00E16AAA"/>
    <w:rsid w:val="00E24FA1"/>
    <w:rsid w:val="00E26211"/>
    <w:rsid w:val="00E306D0"/>
    <w:rsid w:val="00E31980"/>
    <w:rsid w:val="00E40179"/>
    <w:rsid w:val="00E43A92"/>
    <w:rsid w:val="00E505B9"/>
    <w:rsid w:val="00E5289F"/>
    <w:rsid w:val="00E55C71"/>
    <w:rsid w:val="00E62DD2"/>
    <w:rsid w:val="00E761FD"/>
    <w:rsid w:val="00E809D9"/>
    <w:rsid w:val="00E90380"/>
    <w:rsid w:val="00E95B8C"/>
    <w:rsid w:val="00EA69CE"/>
    <w:rsid w:val="00EB456E"/>
    <w:rsid w:val="00EC00B0"/>
    <w:rsid w:val="00EC14F6"/>
    <w:rsid w:val="00EC539B"/>
    <w:rsid w:val="00ED09B8"/>
    <w:rsid w:val="00EE15D1"/>
    <w:rsid w:val="00EE7722"/>
    <w:rsid w:val="00F10702"/>
    <w:rsid w:val="00F15907"/>
    <w:rsid w:val="00F92E4C"/>
    <w:rsid w:val="00F939C7"/>
    <w:rsid w:val="00F95CBB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2869"/>
    <w:pPr>
      <w:ind w:left="720"/>
      <w:contextualSpacing/>
    </w:pPr>
  </w:style>
  <w:style w:type="character" w:customStyle="1" w:styleId="gesetznormueberschrift">
    <w:name w:val="gesetz_normueberschrift"/>
    <w:basedOn w:val="Absatz-Standardschriftart"/>
    <w:rsid w:val="00ED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6875-6E34-4046-9E61-256685D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4</cp:revision>
  <cp:lastPrinted>2015-09-18T08:05:00Z</cp:lastPrinted>
  <dcterms:created xsi:type="dcterms:W3CDTF">2024-02-23T09:47:00Z</dcterms:created>
  <dcterms:modified xsi:type="dcterms:W3CDTF">2024-02-23T12:09:00Z</dcterms:modified>
</cp:coreProperties>
</file>