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3"/>
        <w:gridCol w:w="515"/>
        <w:gridCol w:w="1213"/>
        <w:gridCol w:w="834"/>
        <w:gridCol w:w="3196"/>
        <w:gridCol w:w="598"/>
        <w:gridCol w:w="593"/>
        <w:gridCol w:w="6"/>
        <w:gridCol w:w="599"/>
        <w:gridCol w:w="599"/>
        <w:gridCol w:w="5951"/>
      </w:tblGrid>
      <w:tr w:rsidR="0058759A" w:rsidRPr="00732697" w:rsidTr="008011D2">
        <w:trPr>
          <w:cantSplit/>
          <w:trHeight w:val="340"/>
          <w:tblHeader/>
        </w:trPr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8759A" w:rsidRPr="007B21CA" w:rsidRDefault="0058759A" w:rsidP="007F5099">
            <w:pPr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8759A" w:rsidRPr="007B21CA" w:rsidRDefault="0058759A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8759A" w:rsidRPr="007B21CA" w:rsidRDefault="0058759A" w:rsidP="006B2B4B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1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759A" w:rsidRPr="00882469" w:rsidRDefault="0058759A" w:rsidP="00882469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B01616" w:rsidRPr="00B01616">
              <w:rPr>
                <w:sz w:val="18"/>
                <w:szCs w:val="18"/>
              </w:rPr>
              <w:t>Akademischer Abschluss</w:t>
            </w:r>
            <w:r w:rsidR="00B01616">
              <w:rPr>
                <w:sz w:val="18"/>
                <w:szCs w:val="18"/>
              </w:rPr>
              <w:t>,</w:t>
            </w:r>
            <w:r w:rsidR="00B01616" w:rsidRPr="00B01616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58759A" w:rsidRPr="00732697" w:rsidTr="008011D2">
        <w:trPr>
          <w:cantSplit/>
          <w:trHeight w:val="340"/>
          <w:tblHeader/>
        </w:trPr>
        <w:tc>
          <w:tcPr>
            <w:tcW w:w="3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759A" w:rsidRPr="007B21CA" w:rsidRDefault="0058759A" w:rsidP="006B2B4B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759A" w:rsidRPr="007B21CA" w:rsidRDefault="0058759A" w:rsidP="006B2B4B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59A" w:rsidRPr="007B21CA" w:rsidRDefault="006B2B4B" w:rsidP="006B2B4B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155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759A" w:rsidRPr="00732697" w:rsidRDefault="0058759A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58759A" w:rsidRPr="007F5099" w:rsidTr="00B109F5">
        <w:trPr>
          <w:cantSplit/>
          <w:tblHeader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59A" w:rsidRPr="007F5099" w:rsidRDefault="0058759A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141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59A" w:rsidRPr="007F5099" w:rsidRDefault="0058759A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B109F5" w:rsidRPr="00732697" w:rsidTr="00B109F5">
        <w:trPr>
          <w:cantSplit/>
          <w:tblHeader/>
        </w:trPr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0C37BB" w:rsidRDefault="00B109F5" w:rsidP="00882469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732697" w:rsidRDefault="00B109F5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732697" w:rsidRDefault="00B109F5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E138AF" w:rsidRDefault="00B109F5" w:rsidP="00B109F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138AF">
              <w:rPr>
                <w:rFonts w:asciiTheme="minorHAnsi" w:hAnsiTheme="minorHAnsi"/>
                <w:b/>
                <w:sz w:val="20"/>
              </w:rPr>
              <w:t>Zutreffende Akkred.-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E138AF">
              <w:rPr>
                <w:rFonts w:asciiTheme="minorHAnsi" w:hAnsiTheme="minorHAnsi"/>
                <w:b/>
                <w:sz w:val="20"/>
              </w:rPr>
              <w:t>Aktivität ankreuzen</w:t>
            </w:r>
            <w:r w:rsidRPr="00E138AF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B109F5" w:rsidRDefault="00B109F5" w:rsidP="00B109F5">
            <w:pPr>
              <w:ind w:left="1217" w:hanging="121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B109F5" w:rsidRPr="00732697" w:rsidTr="00B109F5">
        <w:trPr>
          <w:cantSplit/>
          <w:tblHeader/>
        </w:trPr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0C37BB" w:rsidRDefault="00B109F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732697" w:rsidRDefault="00B109F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732697" w:rsidRDefault="00B109F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109F5" w:rsidRPr="00E3068B" w:rsidRDefault="00B109F5" w:rsidP="0058759A">
            <w:pPr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109F5" w:rsidRPr="00E3068B" w:rsidRDefault="00B109F5" w:rsidP="0058759A">
            <w:pPr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9F5" w:rsidRDefault="00B109F5" w:rsidP="005875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EP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9F5" w:rsidRPr="00732697" w:rsidRDefault="00B109F5" w:rsidP="005875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ZE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9F5" w:rsidRPr="00732697" w:rsidRDefault="00B109F5" w:rsidP="0088246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Bitte Matrizes</w:t>
            </w:r>
            <w:r>
              <w:rPr>
                <w:rStyle w:val="Endnotenzeichen"/>
                <w:rFonts w:asciiTheme="minorHAnsi" w:hAnsiTheme="minorHAnsi"/>
                <w:b/>
                <w:color w:val="FF0000"/>
                <w:sz w:val="20"/>
              </w:rPr>
              <w:endnoteReference w:id="2"/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angeben</w:t>
            </w:r>
          </w:p>
        </w:tc>
      </w:tr>
      <w:tr w:rsidR="0058759A" w:rsidRPr="00B91EDC" w:rsidTr="00B109F5">
        <w:trPr>
          <w:cantSplit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59A" w:rsidRPr="00112E2A" w:rsidRDefault="0058759A" w:rsidP="008011D2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112E2A">
              <w:rPr>
                <w:rFonts w:asciiTheme="minorHAnsi" w:hAnsiTheme="minorHAnsi"/>
                <w:b/>
                <w:sz w:val="20"/>
              </w:rPr>
              <w:t>Gefahrstoffe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8011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112E2A" w:rsidRDefault="0058759A" w:rsidP="008011D2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59A" w:rsidRPr="00112E2A" w:rsidRDefault="0058759A" w:rsidP="008011D2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112E2A">
              <w:rPr>
                <w:rFonts w:asciiTheme="minorHAnsi" w:hAnsiTheme="minorHAnsi"/>
                <w:b/>
                <w:sz w:val="20"/>
              </w:rPr>
              <w:t>Gefahrstoffe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8011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1 Aerosole - amorphe Kieselsäuren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6B2B4B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B4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1 Aerosole - DME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1 Aerosole - kristalline Mineralstäube (Analyse)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1 Aerosole - Metalle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1 Aerosole - organische Inhaltsstoffe (Analyse)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1 Aerosole - Probenahme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E138AF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Grp. 2 Faserstäube - anorganische F. </w:t>
            </w:r>
            <w:r w:rsidR="00B109F5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außer Asbest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E138AF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2 Faserstäube - Asbest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2 Faserstäube - Probenahme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tabs>
                <w:tab w:val="left" w:pos="423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3 Anorganische Gase und Dämpfe - Probenahme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Grp. 3 Anorganische Gase und Dämpfe (Analyse)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4 Organische Gase und Dämpfe - Probenahme</w:t>
            </w:r>
          </w:p>
        </w:tc>
        <w:bookmarkStart w:id="1" w:name="_GoBack"/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4 Organische Gase und Dämpfe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 xml:space="preserve"> </w:t>
            </w:r>
            <w:r>
              <w:rPr>
                <w:rFonts w:cs="Calibri"/>
                <w:color w:val="000000"/>
                <w:sz w:val="20"/>
              </w:rPr>
              <w:t>Gebiete - Asbestfasern beim Umgang mit mineralischen Rohstoffen (ergänzend zu Grp. 2 Asbest Probenahme und 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 xml:space="preserve"> </w:t>
            </w:r>
            <w:r>
              <w:rPr>
                <w:rFonts w:cs="Calibri"/>
                <w:color w:val="000000"/>
                <w:sz w:val="20"/>
              </w:rPr>
              <w:t xml:space="preserve">Gebiete - </w:t>
            </w:r>
            <w:r w:rsidR="00B109F5">
              <w:rPr>
                <w:rFonts w:cs="Calibri"/>
                <w:color w:val="000000"/>
                <w:sz w:val="20"/>
              </w:rPr>
              <w:br/>
              <w:t>E</w:t>
            </w:r>
            <w:r>
              <w:rPr>
                <w:rFonts w:cs="Calibri"/>
                <w:color w:val="000000"/>
                <w:sz w:val="20"/>
              </w:rPr>
              <w:t>inf. 2-phasige Systeme</w:t>
            </w:r>
            <w:r w:rsidR="00B109F5">
              <w:rPr>
                <w:rFonts w:cs="Calibri"/>
                <w:color w:val="000000"/>
                <w:sz w:val="20"/>
              </w:rPr>
              <w:t xml:space="preserve"> - </w:t>
            </w: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 xml:space="preserve"> </w:t>
            </w:r>
            <w:r>
              <w:rPr>
                <w:rFonts w:cs="Calibri"/>
                <w:color w:val="000000"/>
                <w:sz w:val="20"/>
              </w:rPr>
              <w:t xml:space="preserve">Gebiete - </w:t>
            </w:r>
            <w:r w:rsidR="00B109F5">
              <w:rPr>
                <w:rFonts w:cs="Calibri"/>
                <w:color w:val="000000"/>
                <w:sz w:val="20"/>
              </w:rPr>
              <w:br/>
              <w:t>E</w:t>
            </w:r>
            <w:r>
              <w:rPr>
                <w:rFonts w:cs="Calibri"/>
                <w:color w:val="000000"/>
                <w:sz w:val="20"/>
              </w:rPr>
              <w:t>inf. 2-phasige Systeme; Kühlschmierstoffe, Bitumen, Phthalsäureester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3F0894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 xml:space="preserve"> </w:t>
            </w:r>
            <w:r>
              <w:rPr>
                <w:rFonts w:cs="Calibri"/>
                <w:color w:val="000000"/>
                <w:sz w:val="20"/>
              </w:rPr>
              <w:t>Gebiete - Messungen unter Tage (ergänzend zu Parametern der Grp. 1-5)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 xml:space="preserve"> Gebiete - O</w:t>
            </w:r>
            <w:r>
              <w:rPr>
                <w:rFonts w:cs="Calibri"/>
                <w:color w:val="000000"/>
                <w:sz w:val="20"/>
              </w:rPr>
              <w:t>rganische Parameter - Biozide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 xml:space="preserve"> Gebiete - O</w:t>
            </w:r>
            <w:r>
              <w:rPr>
                <w:rFonts w:cs="Calibri"/>
                <w:color w:val="000000"/>
                <w:sz w:val="20"/>
              </w:rPr>
              <w:t>rganische Parameter - PAK, PCB,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 xml:space="preserve"> Gebiete - O</w:t>
            </w:r>
            <w:r>
              <w:rPr>
                <w:rFonts w:cs="Calibri"/>
                <w:color w:val="000000"/>
                <w:sz w:val="20"/>
              </w:rPr>
              <w:t>rganische Parameter - PCDD/PCDF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 xml:space="preserve"> Gebiete - O</w:t>
            </w:r>
            <w:r>
              <w:rPr>
                <w:rFonts w:cs="Calibri"/>
                <w:color w:val="000000"/>
                <w:sz w:val="20"/>
              </w:rPr>
              <w:t>rganische Parameter - Probenahme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8011D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Grp. 5 Ausgewählte Parameter/</w:t>
            </w:r>
            <w:r w:rsidR="00B109F5">
              <w:rPr>
                <w:rFonts w:cs="Calibri"/>
                <w:color w:val="000000"/>
                <w:sz w:val="20"/>
              </w:rPr>
              <w:t>Gebiete - O</w:t>
            </w:r>
            <w:r>
              <w:rPr>
                <w:rFonts w:cs="Calibri"/>
                <w:color w:val="000000"/>
                <w:sz w:val="20"/>
              </w:rPr>
              <w:t>rganische Parameter - z.B. metallorganische Verbindungen, Nitrosamine, Isocyanate (Analyse)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3F0894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E138AF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59A" w:rsidRPr="00112E2A" w:rsidRDefault="0058759A" w:rsidP="0058759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112E2A">
              <w:rPr>
                <w:rFonts w:asciiTheme="minorHAnsi" w:hAnsiTheme="minorHAnsi"/>
                <w:b/>
                <w:sz w:val="20"/>
              </w:rPr>
              <w:t>Luft, gesetzlich nicht geregelter Bereich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E138A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F174A5" w:rsidRDefault="0058759A" w:rsidP="00112E2A">
            <w:pPr>
              <w:rPr>
                <w:rFonts w:cs="Calibri"/>
                <w:color w:val="000000"/>
                <w:sz w:val="20"/>
              </w:rPr>
            </w:pPr>
            <w:r w:rsidRPr="00F174A5">
              <w:rPr>
                <w:rFonts w:cs="Calibri"/>
                <w:color w:val="000000"/>
                <w:sz w:val="20"/>
              </w:rPr>
              <w:t>Ausbreitungsrechnungen gemäß TA-Luft und GIRL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F174A5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74A5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A5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74A5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F174A5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74A5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A5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74A5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F174A5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F174A5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F174A5" w:rsidRDefault="0058759A" w:rsidP="00112E2A">
            <w:pPr>
              <w:rPr>
                <w:rFonts w:asciiTheme="minorHAnsi" w:hAnsiTheme="minorHAnsi"/>
                <w:sz w:val="20"/>
              </w:rPr>
            </w:pPr>
            <w:r w:rsidRPr="00F174A5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74A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74A5">
              <w:rPr>
                <w:rFonts w:asciiTheme="minorHAnsi" w:hAnsiTheme="minorHAnsi"/>
                <w:sz w:val="20"/>
              </w:rPr>
            </w:r>
            <w:r w:rsidRPr="00F174A5">
              <w:rPr>
                <w:rFonts w:asciiTheme="minorHAnsi" w:hAnsiTheme="minorHAnsi"/>
                <w:sz w:val="20"/>
              </w:rPr>
              <w:fldChar w:fldCharType="separate"/>
            </w:r>
            <w:r w:rsidRPr="00F174A5">
              <w:rPr>
                <w:rFonts w:asciiTheme="minorHAnsi" w:hAnsiTheme="minorHAnsi"/>
                <w:noProof/>
                <w:sz w:val="20"/>
              </w:rPr>
              <w:t> </w:t>
            </w:r>
            <w:r w:rsidRPr="00F174A5">
              <w:rPr>
                <w:rFonts w:asciiTheme="minorHAnsi" w:hAnsiTheme="minorHAnsi"/>
                <w:noProof/>
                <w:sz w:val="20"/>
              </w:rPr>
              <w:t> </w:t>
            </w:r>
            <w:r w:rsidRPr="00F174A5">
              <w:rPr>
                <w:rFonts w:asciiTheme="minorHAnsi" w:hAnsiTheme="minorHAnsi"/>
                <w:noProof/>
                <w:sz w:val="20"/>
              </w:rPr>
              <w:t> </w:t>
            </w:r>
            <w:r w:rsidRPr="00F174A5">
              <w:rPr>
                <w:rFonts w:asciiTheme="minorHAnsi" w:hAnsiTheme="minorHAnsi"/>
                <w:noProof/>
                <w:sz w:val="20"/>
              </w:rPr>
              <w:t> </w:t>
            </w:r>
            <w:r w:rsidRPr="00F174A5">
              <w:rPr>
                <w:rFonts w:asciiTheme="minorHAnsi" w:hAnsiTheme="minorHAnsi"/>
                <w:noProof/>
                <w:sz w:val="20"/>
              </w:rPr>
              <w:t> </w:t>
            </w:r>
            <w:r w:rsidRPr="00F174A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3240CE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3240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3240C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Verfahren, Biotests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3240C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Flüssigchromatographie (LC)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3F0894" w:rsidRDefault="0058759A" w:rsidP="00112E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Gaschromatographie (GC)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8011D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</w:t>
            </w:r>
            <w:r w:rsidR="008011D2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Hochleistungsflüssigkeits</w:t>
            </w:r>
            <w:r w:rsidR="008011D2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>chromatographie (HPLC)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Ionenchromatographie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Dioxine/Furane (GC-HRMS)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Dioxine/Furane (GC-LRMS)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Verfahren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Fotometrie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Gerüche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Gravimetrie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Klima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sz w:val="20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Maßanalyse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0745FD" w:rsidRDefault="0058759A" w:rsidP="00112E2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Verfahren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 - lichtmikroskopische Verfahren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 für faserförmige Schadstoffe (Elektronenmikroskop, REM)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Physikalisch-chemische Parameter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Aerosole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diskontinuierliche Verfahren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kontinuierliche Verfahren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Probenvorbehandlung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Radiologische Verfahren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112E2A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112E2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Atomabsorptionsspektrometrie (AAS)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112E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Massenspektrometrie mit induktiv gekoppeltem Plasma (ICP-MS)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Spezialverfahren (Extraliste)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59A" w:rsidRPr="00B91EDC" w:rsidRDefault="0058759A" w:rsidP="00E138AF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D020BF">
              <w:rPr>
                <w:rFonts w:cs="Times New Roman"/>
                <w:b/>
                <w:sz w:val="20"/>
              </w:rPr>
              <w:t>Immissionsschutz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E138A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E138AF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59A" w:rsidRDefault="0058759A" w:rsidP="00E138AF">
            <w:pPr>
              <w:keepNext/>
              <w:rPr>
                <w:b/>
                <w:sz w:val="20"/>
              </w:rPr>
            </w:pPr>
            <w:r w:rsidRPr="00112E2A">
              <w:rPr>
                <w:b/>
                <w:sz w:val="20"/>
              </w:rPr>
              <w:t>Modul Immissionsschutz</w:t>
            </w:r>
          </w:p>
          <w:p w:rsidR="0058759A" w:rsidRPr="002F1574" w:rsidRDefault="0058759A" w:rsidP="00E138AF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bei Beantragung dieses Sachgebiets bitte die letzte</w:t>
            </w:r>
            <w:r>
              <w:rPr>
                <w:rFonts w:cs="Times New Roman"/>
                <w:b/>
                <w:bCs/>
                <w:color w:val="FF0000"/>
                <w:sz w:val="18"/>
                <w:szCs w:val="18"/>
              </w:rPr>
              <w:t>n</w:t>
            </w: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 xml:space="preserve"> Seiten ausfüllen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E138A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I.1 G Emissionen (Luft): </w:t>
            </w:r>
          </w:p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Gasförmige anorganische und organisch-chemische Verbindungen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FD63B0" w:rsidRDefault="0058759A" w:rsidP="00D020B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Nr. I.1 O Emissionen (Luft): Gerüche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FD63B0" w:rsidRDefault="0058759A" w:rsidP="00D020B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I.1 P Emissionen (Luft): </w:t>
            </w:r>
          </w:p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Partikelförmige und an Partikeln adsorbierte chemische Verbindungen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FD63B0" w:rsidRDefault="0058759A" w:rsidP="00D020B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I.1 Sa Emissionen (Luft): </w:t>
            </w:r>
          </w:p>
          <w:p w:rsidR="0058759A" w:rsidRDefault="0058759A" w:rsidP="00E138A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Spezielle Analyse von Stoffen und Verbindungen, die einen besonderen Aufwand bei der Probenahme und Analyse erfordern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FD63B0" w:rsidRDefault="0058759A" w:rsidP="00D020B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I.1 Sp Emissionen (Luft): </w:t>
            </w:r>
          </w:p>
          <w:p w:rsidR="0058759A" w:rsidRDefault="0058759A" w:rsidP="00E138A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Spezielle Probenahme von Stoffen und Verbindungen, die einen besonderen Aufwand bei der Probenahme und Analyse erfordern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7968B9" w:rsidRDefault="0058759A" w:rsidP="00D020B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7968B9" w:rsidRDefault="0058759A" w:rsidP="00D020B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E138A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Nr. I.2: Nr. I.1 und Messaufgaben, die eine spezielle gerätetechnische Ausstattung und spezielle Erfahrungen des fachkundigen Personals erfordern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E138AF" w:rsidRDefault="0058759A" w:rsidP="00D020B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Nr. II.1: Überprüfung ordnungsgem. Einbau, Funktion, Kalibrierung kontinuierlich arbeitender Emissionsmesseinr</w:t>
            </w:r>
            <w:r w:rsidR="00B109F5">
              <w:rPr>
                <w:rFonts w:cs="Calibri"/>
                <w:sz w:val="20"/>
              </w:rPr>
              <w:t>ichtungen,</w:t>
            </w:r>
            <w:r>
              <w:rPr>
                <w:rFonts w:cs="Calibri"/>
                <w:sz w:val="20"/>
              </w:rPr>
              <w:t xml:space="preserve"> Überprüfungen, Kalibrierungen an Anlagen, die gerätetechnische Ausstattung, Kenntnisse u. Erfahrungen erfordern (auch Aufgaben Gr. I.1.)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E138AF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B109F5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Nr. II.2: Nr. II.1 und Überprüfungen und Kalibrierungen an Anlagen, die eine spezielle gerätetechnische Ausstattung und spezielle Erfahrungen des fachkundigen Personals erfordern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E138AF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IV G Immissionen (Luft): </w:t>
            </w:r>
          </w:p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Gasförmige anorganische und organisch-chemische Verbindungen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FD63B0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B109F5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IV O Immissionen (Luft): </w:t>
            </w:r>
          </w:p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Gerüche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IV P Immissionen (Luft): </w:t>
            </w:r>
            <w:r w:rsidR="00B109F5">
              <w:rPr>
                <w:rFonts w:cs="Calibri"/>
                <w:sz w:val="20"/>
              </w:rPr>
              <w:br/>
            </w:r>
            <w:r>
              <w:rPr>
                <w:rFonts w:cs="Calibri"/>
                <w:sz w:val="20"/>
              </w:rPr>
              <w:t>Partikelförmige und an Partikeln adsorbierte chemische Verbindungen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FD63B0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IV Sa Immissionen (Luft): </w:t>
            </w:r>
          </w:p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Spezielle Analyse von Stoffen und Verbindungen, die einen besonderen Aufwand bei der Probenahme und Analyse erfordern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FD63B0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8759A" w:rsidRPr="00B91EDC" w:rsidTr="008011D2">
        <w:trPr>
          <w:cantSplit/>
        </w:trPr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cs="Times New Roman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2E1C85" w:rsidRDefault="0058759A" w:rsidP="00D020BF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Default="0058759A" w:rsidP="00D020B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Nr. IV Sp Immissionen (Luft): </w:t>
            </w:r>
          </w:p>
          <w:p w:rsidR="0058759A" w:rsidRDefault="0058759A" w:rsidP="00E138AF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Spezielle Probenahme von Stoffen und Verbindungen, die einen besonderen Aufwand bei der Probenahme und Analyse erfordern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FD63B0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B91EDC" w:rsidRDefault="0058759A" w:rsidP="0058759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011D2">
              <w:rPr>
                <w:rFonts w:asciiTheme="minorHAnsi" w:hAnsiTheme="minorHAnsi"/>
                <w:sz w:val="20"/>
                <w:lang w:val="en-GB"/>
              </w:rPr>
            </w:r>
            <w:r w:rsidR="008011D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9A" w:rsidRPr="007968B9" w:rsidRDefault="0058759A" w:rsidP="005875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A" w:rsidRPr="00B91EDC" w:rsidRDefault="0058759A" w:rsidP="00D020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End w:id="0"/>
    </w:tbl>
    <w:p w:rsidR="002F1574" w:rsidRPr="006B2B4B" w:rsidRDefault="002F157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  <w:br w:type="page"/>
      </w:r>
    </w:p>
    <w:p w:rsidR="002F1574" w:rsidRPr="00810C0C" w:rsidRDefault="002F1574" w:rsidP="008011D2">
      <w:pPr>
        <w:keepNext/>
        <w:autoSpaceDE w:val="0"/>
        <w:autoSpaceDN w:val="0"/>
        <w:adjustRightInd w:val="0"/>
        <w:spacing w:before="240" w:after="120"/>
        <w:rPr>
          <w:rFonts w:eastAsia="Calibri"/>
          <w:b/>
          <w:color w:val="FF0000"/>
          <w:sz w:val="28"/>
          <w:szCs w:val="28"/>
          <w:lang w:eastAsia="en-US"/>
        </w:rPr>
      </w:pPr>
      <w:r w:rsidRPr="00810C0C">
        <w:rPr>
          <w:rFonts w:eastAsia="Calibri"/>
          <w:b/>
          <w:color w:val="FF0000"/>
          <w:sz w:val="28"/>
          <w:szCs w:val="28"/>
          <w:lang w:eastAsia="en-US"/>
        </w:rPr>
        <w:lastRenderedPageBreak/>
        <w:t>Erklärung des Antragstellers zu den Anforderungen a</w:t>
      </w:r>
      <w:r w:rsidR="00567588">
        <w:rPr>
          <w:rFonts w:eastAsia="Calibri"/>
          <w:b/>
          <w:color w:val="FF0000"/>
          <w:sz w:val="28"/>
          <w:szCs w:val="28"/>
          <w:lang w:eastAsia="en-US"/>
        </w:rPr>
        <w:t>n Fachbegutachter im Bereich des Moduls</w:t>
      </w:r>
      <w:r w:rsidRPr="00810C0C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FF0000"/>
          <w:sz w:val="28"/>
          <w:szCs w:val="28"/>
          <w:lang w:eastAsia="en-US"/>
        </w:rPr>
        <w:t>Immissionsschutz</w:t>
      </w:r>
    </w:p>
    <w:p w:rsidR="002F1574" w:rsidRDefault="002F1574" w:rsidP="008011D2">
      <w:pPr>
        <w:keepNext/>
        <w:autoSpaceDE w:val="0"/>
        <w:autoSpaceDN w:val="0"/>
        <w:adjustRightInd w:val="0"/>
        <w:spacing w:before="120" w:after="120"/>
        <w:rPr>
          <w:rFonts w:eastAsia="Calibri"/>
          <w:b/>
          <w:szCs w:val="22"/>
          <w:lang w:eastAsia="en-US"/>
        </w:rPr>
      </w:pPr>
      <w:r w:rsidRPr="005E6AF6">
        <w:rPr>
          <w:rFonts w:eastAsia="Calibri"/>
          <w:b/>
          <w:szCs w:val="22"/>
          <w:lang w:eastAsia="en-US"/>
        </w:rPr>
        <w:t xml:space="preserve">Ich verfüge als Fachbegutachter mindestens über die im jeweiligen Fachmodul geforderte Qualifikation für die Laborleitung bzw. für den </w:t>
      </w:r>
      <w:r>
        <w:rPr>
          <w:rFonts w:eastAsia="Calibri"/>
          <w:b/>
          <w:szCs w:val="22"/>
          <w:lang w:eastAsia="en-US"/>
        </w:rPr>
        <w:t>fachlich Verantwortlichen</w:t>
      </w:r>
      <w:r w:rsidR="00567588">
        <w:rPr>
          <w:rFonts w:eastAsia="Calibri"/>
          <w:b/>
          <w:szCs w:val="22"/>
          <w:lang w:eastAsia="en-US"/>
        </w:rPr>
        <w:t xml:space="preserve"> im Bereich des M</w:t>
      </w:r>
      <w:r w:rsidRPr="005E6AF6">
        <w:rPr>
          <w:rFonts w:eastAsia="Calibri"/>
          <w:b/>
          <w:szCs w:val="22"/>
          <w:lang w:eastAsia="en-US"/>
        </w:rPr>
        <w:t>oduls</w:t>
      </w:r>
      <w:r>
        <w:rPr>
          <w:rFonts w:eastAsia="Calibri"/>
          <w:b/>
          <w:szCs w:val="22"/>
          <w:lang w:eastAsia="en-US"/>
        </w:rPr>
        <w:t xml:space="preserve"> </w:t>
      </w:r>
    </w:p>
    <w:p w:rsidR="002F1574" w:rsidRPr="002F05D3" w:rsidRDefault="002F1574" w:rsidP="00095DDF">
      <w:pPr>
        <w:autoSpaceDE w:val="0"/>
        <w:autoSpaceDN w:val="0"/>
        <w:adjustRightInd w:val="0"/>
        <w:spacing w:before="120" w:after="120" w:line="288" w:lineRule="auto"/>
        <w:ind w:left="426" w:hanging="426"/>
        <w:rPr>
          <w:rFonts w:eastAsia="Calibri"/>
          <w:szCs w:val="22"/>
          <w:lang w:eastAsia="en-US"/>
        </w:rPr>
      </w:pPr>
      <w:r w:rsidRPr="002F05D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F05D3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2F05D3">
        <w:rPr>
          <w:rFonts w:eastAsia="Calibri"/>
          <w:szCs w:val="22"/>
          <w:lang w:eastAsia="en-US"/>
        </w:rPr>
        <w:fldChar w:fldCharType="end"/>
      </w:r>
      <w:r w:rsidRPr="002F05D3">
        <w:rPr>
          <w:rFonts w:eastAsia="Calibri"/>
          <w:szCs w:val="22"/>
          <w:lang w:eastAsia="en-US"/>
        </w:rPr>
        <w:tab/>
        <w:t>Immissionsschutz (Berichte und Probenahme)</w:t>
      </w:r>
    </w:p>
    <w:p w:rsidR="002F1574" w:rsidRPr="002F05D3" w:rsidRDefault="002F1574" w:rsidP="00095DDF">
      <w:pPr>
        <w:autoSpaceDE w:val="0"/>
        <w:autoSpaceDN w:val="0"/>
        <w:adjustRightInd w:val="0"/>
        <w:spacing w:after="120" w:line="288" w:lineRule="auto"/>
        <w:ind w:left="426" w:hanging="426"/>
        <w:rPr>
          <w:rFonts w:eastAsia="Calibri"/>
          <w:szCs w:val="22"/>
          <w:lang w:eastAsia="en-US"/>
        </w:rPr>
      </w:pPr>
      <w:r w:rsidRPr="002F05D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F05D3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2F05D3">
        <w:rPr>
          <w:rFonts w:eastAsia="Calibri"/>
          <w:szCs w:val="22"/>
          <w:lang w:eastAsia="en-US"/>
        </w:rPr>
        <w:fldChar w:fldCharType="end"/>
      </w:r>
      <w:r w:rsidRPr="002F05D3">
        <w:rPr>
          <w:rFonts w:eastAsia="Calibri"/>
          <w:szCs w:val="22"/>
          <w:lang w:eastAsia="en-US"/>
        </w:rPr>
        <w:tab/>
        <w:t>Immissionsschutz (Analytik)</w:t>
      </w:r>
    </w:p>
    <w:p w:rsidR="002F1574" w:rsidRPr="005E6AF6" w:rsidRDefault="002F1574" w:rsidP="008011D2">
      <w:pPr>
        <w:keepNext/>
        <w:autoSpaceDE w:val="0"/>
        <w:autoSpaceDN w:val="0"/>
        <w:adjustRightInd w:val="0"/>
        <w:spacing w:before="120" w:after="120"/>
        <w:rPr>
          <w:rFonts w:eastAsia="Calibri"/>
          <w:b/>
          <w:szCs w:val="22"/>
          <w:lang w:eastAsia="en-US"/>
        </w:rPr>
      </w:pPr>
      <w:r w:rsidRPr="005E6AF6">
        <w:rPr>
          <w:rFonts w:eastAsia="Calibri"/>
          <w:b/>
          <w:szCs w:val="22"/>
          <w:lang w:eastAsia="en-US"/>
        </w:rPr>
        <w:t>Ich erfülle die "Regeln zum Begutachterwesen" der DAkkS - 71 SD 0 008 - und darüber hinaus nachfolgende spezielle Anforderungen wie:</w:t>
      </w:r>
    </w:p>
    <w:p w:rsidR="002F1574" w:rsidRPr="005E6AF6" w:rsidRDefault="002F1574" w:rsidP="002F1574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426" w:hanging="426"/>
        <w:rPr>
          <w:szCs w:val="22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Pr="005E6AF6">
        <w:rPr>
          <w:rFonts w:eastAsia="Calibri"/>
          <w:szCs w:val="22"/>
          <w:lang w:eastAsia="en-US"/>
        </w:rPr>
        <w:tab/>
      </w:r>
      <w:r w:rsidR="006B2B4B">
        <w:rPr>
          <w:rFonts w:eastAsia="Calibri"/>
          <w:szCs w:val="22"/>
          <w:lang w:eastAsia="en-US"/>
        </w:rPr>
        <w:t>M</w:t>
      </w:r>
      <w:r w:rsidRPr="005E6AF6">
        <w:rPr>
          <w:szCs w:val="22"/>
        </w:rPr>
        <w:t>indestens 4-jährige zusammenhängende praktische Berufserfahrung</w:t>
      </w:r>
      <w:r>
        <w:rPr>
          <w:szCs w:val="22"/>
        </w:rPr>
        <w:t xml:space="preserve"> </w:t>
      </w:r>
      <w:r w:rsidRPr="005E6AF6">
        <w:rPr>
          <w:szCs w:val="22"/>
        </w:rPr>
        <w:t>(hauptberufliche Tätigkeit (≥ 19 Wochenstunden)) im Rahmen der Konformitätsbewertung in einem Labor oder einer Messstelle in dem künftigen Einsatzgebiet des Fachbegutachters.</w:t>
      </w:r>
      <w:r w:rsidRPr="005E6AF6">
        <w:rPr>
          <w:szCs w:val="22"/>
        </w:rPr>
        <w:br/>
        <w:t>Diese Tätigkeit darf im Zeitraum der Benennung bzw. der Tätigkeit als Fachbegutachter nicht länger als 4 Jahre zurückliegen.</w:t>
      </w:r>
    </w:p>
    <w:p w:rsidR="002F1574" w:rsidRDefault="002F1574" w:rsidP="002F1574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Erfahrungen und Kenntnisse -dem jeweiligen Begutachtungsauftrag angemessen- zur Bewertung von normgerechten Qualitätsmanagementsystemen</w:t>
      </w:r>
    </w:p>
    <w:p w:rsidR="002F1574" w:rsidRDefault="002F1574" w:rsidP="002F1574">
      <w:pPr>
        <w:autoSpaceDE w:val="0"/>
        <w:autoSpaceDN w:val="0"/>
        <w:adjustRightInd w:val="0"/>
        <w:spacing w:after="120" w:line="288" w:lineRule="auto"/>
        <w:ind w:left="426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</w:r>
      <w:r w:rsidR="006B2B4B">
        <w:rPr>
          <w:rFonts w:eastAsia="Calibri"/>
          <w:szCs w:val="22"/>
          <w:lang w:eastAsia="en-US"/>
        </w:rPr>
        <w:t>D</w:t>
      </w:r>
      <w:r w:rsidRPr="00183763">
        <w:rPr>
          <w:rFonts w:eastAsia="Calibri"/>
          <w:szCs w:val="22"/>
          <w:lang w:eastAsia="en-US"/>
        </w:rPr>
        <w:t>etaillierte Kenntnisse der einschlägigen Normen zur Probenahme und deren praktischen Anwendung</w:t>
      </w:r>
    </w:p>
    <w:p w:rsidR="002F1574" w:rsidRPr="00F63D3E" w:rsidRDefault="002F1574" w:rsidP="002F1574">
      <w:pPr>
        <w:pStyle w:val="Default"/>
        <w:ind w:left="426" w:hanging="426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8011D2">
        <w:rPr>
          <w:rFonts w:asciiTheme="minorHAnsi" w:eastAsia="Calibri" w:hAnsiTheme="minorHAnsi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011D2">
        <w:rPr>
          <w:rFonts w:asciiTheme="minorHAnsi" w:eastAsia="Calibri" w:hAnsiTheme="minorHAnsi"/>
          <w:sz w:val="22"/>
          <w:szCs w:val="22"/>
          <w:lang w:eastAsia="en-US"/>
        </w:rPr>
        <w:instrText xml:space="preserve"> FORMCHECKBOX </w:instrText>
      </w:r>
      <w:r w:rsidR="008011D2" w:rsidRPr="008011D2">
        <w:rPr>
          <w:rFonts w:asciiTheme="minorHAnsi" w:eastAsia="Calibri" w:hAnsiTheme="minorHAnsi"/>
          <w:sz w:val="22"/>
          <w:szCs w:val="22"/>
          <w:lang w:eastAsia="en-US"/>
        </w:rPr>
      </w:r>
      <w:r w:rsidR="008011D2" w:rsidRPr="008011D2">
        <w:rPr>
          <w:rFonts w:asciiTheme="minorHAnsi" w:eastAsia="Calibri" w:hAnsiTheme="minorHAnsi"/>
          <w:sz w:val="22"/>
          <w:szCs w:val="22"/>
          <w:lang w:eastAsia="en-US"/>
        </w:rPr>
        <w:fldChar w:fldCharType="separate"/>
      </w:r>
      <w:r w:rsidRPr="008011D2">
        <w:rPr>
          <w:rFonts w:asciiTheme="minorHAnsi" w:eastAsia="Calibri" w:hAnsiTheme="minorHAnsi"/>
          <w:sz w:val="22"/>
          <w:szCs w:val="22"/>
          <w:lang w:eastAsia="en-US"/>
        </w:rPr>
        <w:fldChar w:fldCharType="end"/>
      </w:r>
      <w:r w:rsidR="006B2B4B" w:rsidRPr="00183763">
        <w:rPr>
          <w:rFonts w:eastAsia="Calibri"/>
          <w:szCs w:val="22"/>
          <w:lang w:eastAsia="en-US"/>
        </w:rPr>
        <w:tab/>
      </w:r>
      <w:r w:rsidR="006B2B4B" w:rsidRPr="006B2B4B">
        <w:rPr>
          <w:rFonts w:ascii="Calibri" w:eastAsia="Calibri" w:hAnsi="Calibri" w:cs="Arial"/>
          <w:color w:val="auto"/>
          <w:sz w:val="22"/>
          <w:szCs w:val="22"/>
          <w:lang w:eastAsia="en-US"/>
        </w:rPr>
        <w:t>D</w:t>
      </w:r>
      <w:r w:rsidRPr="00183763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etaillierte Kenntnisse der einschlägigen Normen der Anhänge des jeweiligen Fachmoduls </w:t>
      </w:r>
      <w:r w:rsidRPr="00F63D3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einschließlich der mess- und gerätetechnischen Voraussetzungen </w:t>
      </w:r>
    </w:p>
    <w:p w:rsidR="002F1574" w:rsidRPr="00183763" w:rsidRDefault="002F1574" w:rsidP="008011D2">
      <w:pPr>
        <w:autoSpaceDE w:val="0"/>
        <w:autoSpaceDN w:val="0"/>
        <w:adjustRightInd w:val="0"/>
        <w:spacing w:before="120"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Kenntnisse in EDV-gestützten Laborinformationssystemen</w:t>
      </w:r>
    </w:p>
    <w:p w:rsidR="002F1574" w:rsidRDefault="002F1574" w:rsidP="002F1574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>
        <w:rPr>
          <w:rFonts w:eastAsia="Calibri"/>
          <w:szCs w:val="22"/>
          <w:lang w:eastAsia="en-US"/>
        </w:rPr>
        <w:tab/>
        <w:t>Teilnahme an DAkkS-Schulungen</w:t>
      </w:r>
    </w:p>
    <w:p w:rsidR="002F1574" w:rsidRPr="005E6AF6" w:rsidRDefault="002F1574" w:rsidP="002F1574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Pr="005E6AF6">
        <w:rPr>
          <w:rFonts w:eastAsia="Calibri"/>
          <w:szCs w:val="22"/>
          <w:lang w:eastAsia="en-US"/>
        </w:rPr>
        <w:tab/>
      </w:r>
      <w:r w:rsidR="006B2B4B">
        <w:rPr>
          <w:rFonts w:eastAsia="Calibri"/>
          <w:szCs w:val="22"/>
          <w:lang w:eastAsia="en-US"/>
        </w:rPr>
        <w:t>D</w:t>
      </w:r>
      <w:r w:rsidRPr="005E6AF6">
        <w:rPr>
          <w:rFonts w:eastAsia="Calibri"/>
          <w:szCs w:val="22"/>
          <w:lang w:eastAsia="en-US"/>
        </w:rPr>
        <w:t>etaillierte Kenntnisse der aktuellen Anforderungen aus dem Fachmodul entsprechend den Einsatzgebieten sowie der DAkkS-Regel 71 SD 4 030</w:t>
      </w:r>
    </w:p>
    <w:p w:rsidR="002F1574" w:rsidRPr="00183763" w:rsidRDefault="002F1574" w:rsidP="002F1574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="006B2B4B">
        <w:rPr>
          <w:rFonts w:eastAsia="Calibri"/>
          <w:szCs w:val="22"/>
          <w:lang w:eastAsia="en-US"/>
        </w:rPr>
        <w:tab/>
        <w:t>D</w:t>
      </w:r>
      <w:r w:rsidRPr="00183763">
        <w:rPr>
          <w:rFonts w:eastAsia="Calibri"/>
          <w:szCs w:val="22"/>
          <w:lang w:eastAsia="en-US"/>
        </w:rPr>
        <w:t>etaillierte Kenntnisse der LAWA-AQS-Merkblätter</w:t>
      </w:r>
    </w:p>
    <w:p w:rsidR="002F1574" w:rsidRPr="00183763" w:rsidRDefault="002F1574" w:rsidP="002F1574">
      <w:pPr>
        <w:autoSpaceDE w:val="0"/>
        <w:autoSpaceDN w:val="0"/>
        <w:adjustRightInd w:val="0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8011D2">
        <w:rPr>
          <w:rFonts w:eastAsia="Calibri"/>
          <w:szCs w:val="22"/>
          <w:lang w:eastAsia="en-US"/>
        </w:rPr>
      </w:r>
      <w:r w:rsidR="008011D2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Kenntnisse des Abwasserabgabengesetzes, der Abwasserverordnung sowie der einschlägigen länderspezifischen Gesetze und Verordnungen</w:t>
      </w:r>
    </w:p>
    <w:p w:rsidR="002F1574" w:rsidRPr="00F63D3E" w:rsidRDefault="002F1574" w:rsidP="008011D2">
      <w:pPr>
        <w:pStyle w:val="Default"/>
        <w:keepNext/>
        <w:spacing w:before="240" w:after="12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83763">
        <w:rPr>
          <w:rFonts w:asciiTheme="minorHAnsi" w:eastAsia="Calibri" w:hAnsiTheme="minorHAnsi"/>
          <w:b/>
          <w:sz w:val="22"/>
          <w:szCs w:val="22"/>
          <w:lang w:eastAsia="en-US"/>
        </w:rPr>
        <w:t>Sonstige Anmerkungen, wenn Abweichungen des Antragstellers von den Anforderungen vorliegen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F63D3E">
        <w:rPr>
          <w:rFonts w:asciiTheme="minorHAnsi" w:eastAsia="Calibri" w:hAnsiTheme="minorHAnsi"/>
          <w:b/>
          <w:sz w:val="22"/>
          <w:szCs w:val="22"/>
          <w:lang w:eastAsia="en-US"/>
        </w:rPr>
        <w:t>(z. B. Ergänzungen zur Fachkompetenz):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2F1574" w:rsidRPr="005E6AF6" w:rsidTr="003240CE">
        <w:tc>
          <w:tcPr>
            <w:tcW w:w="14742" w:type="dxa"/>
            <w:shd w:val="clear" w:color="auto" w:fill="auto"/>
          </w:tcPr>
          <w:p w:rsidR="002F1574" w:rsidRPr="005E6AF6" w:rsidRDefault="002F1574" w:rsidP="008011D2">
            <w:pPr>
              <w:keepNext/>
              <w:autoSpaceDE w:val="0"/>
              <w:autoSpaceDN w:val="0"/>
              <w:adjustRightInd w:val="0"/>
              <w:spacing w:before="40" w:after="20"/>
              <w:ind w:left="165" w:hanging="40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2F1574" w:rsidRPr="005E6AF6" w:rsidTr="003240CE">
        <w:tc>
          <w:tcPr>
            <w:tcW w:w="14742" w:type="dxa"/>
            <w:shd w:val="clear" w:color="auto" w:fill="auto"/>
          </w:tcPr>
          <w:p w:rsidR="002F1574" w:rsidRPr="005E6AF6" w:rsidRDefault="002F1574" w:rsidP="008011D2">
            <w:pPr>
              <w:keepNext/>
              <w:autoSpaceDE w:val="0"/>
              <w:autoSpaceDN w:val="0"/>
              <w:adjustRightInd w:val="0"/>
              <w:spacing w:before="40" w:after="20"/>
              <w:ind w:left="165" w:hanging="40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2F1574" w:rsidRPr="005E6AF6" w:rsidTr="003240CE">
        <w:tc>
          <w:tcPr>
            <w:tcW w:w="14742" w:type="dxa"/>
            <w:shd w:val="clear" w:color="auto" w:fill="auto"/>
          </w:tcPr>
          <w:p w:rsidR="002F1574" w:rsidRPr="005E6AF6" w:rsidRDefault="002F1574" w:rsidP="008011D2">
            <w:pPr>
              <w:autoSpaceDE w:val="0"/>
              <w:autoSpaceDN w:val="0"/>
              <w:adjustRightInd w:val="0"/>
              <w:spacing w:before="40" w:after="20"/>
              <w:ind w:left="165" w:hanging="40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</w:tbl>
    <w:p w:rsidR="00051454" w:rsidRPr="00051454" w:rsidRDefault="00051454" w:rsidP="008011D2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lastRenderedPageBreak/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B109F5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051454" w:rsidRPr="00051454" w:rsidTr="00B109F5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F727C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6B2B4B">
              <w:rPr>
                <w:rStyle w:val="Endnotenzeichen"/>
                <w:b/>
                <w:bCs/>
                <w:szCs w:val="22"/>
              </w:rPr>
              <w:endnoteReference w:id="3"/>
            </w:r>
            <w:bookmarkEnd w:id="2"/>
          </w:p>
        </w:tc>
      </w:tr>
    </w:tbl>
    <w:p w:rsidR="008011D2" w:rsidRDefault="008011D2" w:rsidP="008011D2">
      <w:pPr>
        <w:rPr>
          <w:szCs w:val="22"/>
        </w:rPr>
      </w:pPr>
    </w:p>
    <w:p w:rsidR="00051454" w:rsidRPr="00051454" w:rsidRDefault="00051454" w:rsidP="008011D2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1449F5">
        <w:rPr>
          <w:szCs w:val="22"/>
        </w:rPr>
        <w:t>die</w:t>
      </w:r>
      <w:r w:rsidR="001449F5" w:rsidRPr="00051454">
        <w:rPr>
          <w:szCs w:val="22"/>
        </w:rPr>
        <w:t xml:space="preserve"> Fachbereichs</w:t>
      </w:r>
      <w:r w:rsidR="001449F5">
        <w:rPr>
          <w:szCs w:val="22"/>
        </w:rPr>
        <w:t>leitung</w:t>
      </w:r>
      <w:r w:rsidR="001449F5" w:rsidRPr="00051454">
        <w:rPr>
          <w:szCs w:val="22"/>
        </w:rPr>
        <w:t xml:space="preserve"> (FB</w:t>
      </w:r>
      <w:r w:rsidR="001449F5">
        <w:rPr>
          <w:szCs w:val="22"/>
        </w:rPr>
        <w:t>L</w:t>
      </w:r>
      <w:r w:rsidR="001449F5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051454" w:rsidRPr="00051454" w:rsidTr="008011D2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011D2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8011D2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1449F5" w:rsidRDefault="00824644" w:rsidP="008011D2">
            <w:pPr>
              <w:keepNext/>
              <w:spacing w:after="60"/>
              <w:rPr>
                <w:bCs/>
                <w:szCs w:val="22"/>
                <w:vertAlign w:val="superscript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1449F5">
              <w:rPr>
                <w:b/>
                <w:bCs/>
                <w:szCs w:val="22"/>
              </w:rPr>
              <w:t>L</w:t>
            </w:r>
            <w:r w:rsidR="001449F5" w:rsidRPr="001449F5">
              <w:rPr>
                <w:b/>
                <w:bCs/>
                <w:szCs w:val="22"/>
                <w:vertAlign w:val="superscript"/>
              </w:rPr>
              <w:t>3</w:t>
            </w:r>
          </w:p>
        </w:tc>
      </w:tr>
    </w:tbl>
    <w:p w:rsidR="00051454" w:rsidRPr="003213B1" w:rsidRDefault="00051454" w:rsidP="00051454">
      <w:pPr>
        <w:rPr>
          <w:szCs w:val="22"/>
        </w:rPr>
      </w:pPr>
    </w:p>
    <w:sectPr w:rsidR="00051454" w:rsidRPr="003213B1" w:rsidSect="00C0353C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03" w:bottom="709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4B" w:rsidRDefault="006B2B4B">
      <w:r>
        <w:separator/>
      </w:r>
    </w:p>
  </w:endnote>
  <w:endnote w:type="continuationSeparator" w:id="0">
    <w:p w:rsidR="006B2B4B" w:rsidRDefault="006B2B4B">
      <w:r>
        <w:continuationSeparator/>
      </w:r>
    </w:p>
  </w:endnote>
  <w:endnote w:id="1">
    <w:p w:rsidR="00B109F5" w:rsidRPr="008B073C" w:rsidRDefault="00B109F5" w:rsidP="008011D2">
      <w:pPr>
        <w:pStyle w:val="Endnotentext"/>
        <w:keepNext/>
        <w:spacing w:before="120" w:after="120"/>
        <w:ind w:left="142" w:hanging="142"/>
        <w:rPr>
          <w:sz w:val="18"/>
          <w:szCs w:val="18"/>
        </w:rPr>
      </w:pPr>
      <w:r w:rsidRPr="002C2A6A">
        <w:rPr>
          <w:rStyle w:val="Endnotenzeichen"/>
          <w:b/>
          <w:szCs w:val="18"/>
        </w:rPr>
        <w:endnoteRef/>
      </w:r>
      <w:r w:rsidR="008011D2">
        <w:rPr>
          <w:sz w:val="18"/>
          <w:szCs w:val="18"/>
        </w:rPr>
        <w:t xml:space="preserve">  </w:t>
      </w:r>
      <w:r w:rsidRPr="00290072">
        <w:rPr>
          <w:b/>
          <w:sz w:val="18"/>
          <w:szCs w:val="18"/>
        </w:rPr>
        <w:t>Bereiche der Konformitätsbewertungsaktivitäten der DAkkS:</w:t>
      </w:r>
    </w:p>
    <w:tbl>
      <w:tblPr>
        <w:tblW w:w="4953" w:type="pct"/>
        <w:tblInd w:w="1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993"/>
        <w:gridCol w:w="2827"/>
        <w:gridCol w:w="356"/>
        <w:gridCol w:w="975"/>
        <w:gridCol w:w="9101"/>
      </w:tblGrid>
      <w:tr w:rsidR="008011D2" w:rsidRPr="00C913A0" w:rsidTr="008011D2">
        <w:tc>
          <w:tcPr>
            <w:tcW w:w="120" w:type="pct"/>
            <w:shd w:val="clear" w:color="auto" w:fill="auto"/>
            <w:tcMar>
              <w:left w:w="0" w:type="dxa"/>
            </w:tcMar>
          </w:tcPr>
          <w:p w:rsidR="00AB1566" w:rsidRPr="00C913A0" w:rsidRDefault="00AB1566" w:rsidP="0000570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340" w:type="pct"/>
          </w:tcPr>
          <w:p w:rsidR="00AB1566" w:rsidRPr="008011D2" w:rsidRDefault="00AB1566" w:rsidP="008011D2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8011D2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968" w:type="pct"/>
            <w:shd w:val="clear" w:color="auto" w:fill="auto"/>
          </w:tcPr>
          <w:p w:rsidR="00AB1566" w:rsidRPr="00C913A0" w:rsidRDefault="00AB1566" w:rsidP="00005701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  <w:r w:rsidRPr="00C91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" w:type="pct"/>
            <w:shd w:val="clear" w:color="auto" w:fill="auto"/>
          </w:tcPr>
          <w:p w:rsidR="00AB1566" w:rsidRPr="00C913A0" w:rsidRDefault="00AB1566" w:rsidP="0000570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334" w:type="pct"/>
          </w:tcPr>
          <w:p w:rsidR="00AB1566" w:rsidRPr="008011D2" w:rsidRDefault="00AB1566" w:rsidP="008011D2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8011D2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3116" w:type="pct"/>
            <w:shd w:val="clear" w:color="auto" w:fill="auto"/>
          </w:tcPr>
          <w:p w:rsidR="00AB1566" w:rsidRPr="00C913A0" w:rsidRDefault="00AB1566" w:rsidP="00005701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</w:tr>
      <w:tr w:rsidR="008011D2" w:rsidRPr="00C913A0" w:rsidTr="008011D2">
        <w:tc>
          <w:tcPr>
            <w:tcW w:w="120" w:type="pct"/>
            <w:shd w:val="clear" w:color="auto" w:fill="auto"/>
            <w:tcMar>
              <w:left w:w="0" w:type="dxa"/>
            </w:tcMar>
          </w:tcPr>
          <w:p w:rsidR="00AB1566" w:rsidRPr="00825D60" w:rsidRDefault="00AB1566" w:rsidP="00AB1566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340" w:type="pct"/>
          </w:tcPr>
          <w:p w:rsidR="00AB1566" w:rsidRPr="008011D2" w:rsidRDefault="00AB1566" w:rsidP="008011D2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8011D2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968" w:type="pct"/>
            <w:shd w:val="clear" w:color="auto" w:fill="auto"/>
          </w:tcPr>
          <w:p w:rsidR="00AB1566" w:rsidRPr="00C913A0" w:rsidRDefault="00AB1566" w:rsidP="00AB1566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 von Eignungsprüfungen</w:t>
            </w:r>
          </w:p>
        </w:tc>
        <w:tc>
          <w:tcPr>
            <w:tcW w:w="122" w:type="pct"/>
            <w:shd w:val="clear" w:color="auto" w:fill="auto"/>
          </w:tcPr>
          <w:p w:rsidR="00AB1566" w:rsidRPr="00825D60" w:rsidRDefault="00AB1566" w:rsidP="00AB1566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334" w:type="pct"/>
          </w:tcPr>
          <w:p w:rsidR="00AB1566" w:rsidRPr="008011D2" w:rsidRDefault="00AB1566" w:rsidP="008011D2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8011D2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3116" w:type="pct"/>
            <w:shd w:val="clear" w:color="auto" w:fill="auto"/>
          </w:tcPr>
          <w:p w:rsidR="00AB1566" w:rsidRPr="00C913A0" w:rsidRDefault="00AB1566" w:rsidP="00AB1566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B109F5" w:rsidRPr="008B073C" w:rsidRDefault="00B109F5" w:rsidP="00191893">
      <w:pPr>
        <w:pStyle w:val="Endnotentext"/>
        <w:rPr>
          <w:sz w:val="2"/>
          <w:szCs w:val="2"/>
        </w:rPr>
      </w:pPr>
    </w:p>
  </w:endnote>
  <w:endnote w:id="2">
    <w:p w:rsidR="00B109F5" w:rsidRDefault="00B109F5" w:rsidP="008011D2">
      <w:pPr>
        <w:pStyle w:val="Endnotentext"/>
        <w:keepNext/>
        <w:spacing w:before="120" w:after="120"/>
        <w:ind w:left="142" w:hanging="142"/>
        <w:rPr>
          <w:sz w:val="18"/>
          <w:szCs w:val="18"/>
        </w:rPr>
      </w:pPr>
      <w:r w:rsidRPr="002C2A6A">
        <w:rPr>
          <w:rStyle w:val="Endnotenzeichen"/>
          <w:b/>
          <w:sz w:val="18"/>
          <w:szCs w:val="18"/>
        </w:rPr>
        <w:endnoteRef/>
      </w:r>
      <w:r w:rsidR="008011D2">
        <w:rPr>
          <w:sz w:val="18"/>
          <w:szCs w:val="18"/>
        </w:rPr>
        <w:t xml:space="preserve">  </w:t>
      </w:r>
      <w:r w:rsidRPr="00290072">
        <w:rPr>
          <w:b/>
          <w:sz w:val="18"/>
          <w:szCs w:val="18"/>
        </w:rPr>
        <w:t>Matrizes:</w:t>
      </w:r>
    </w:p>
    <w:tbl>
      <w:tblPr>
        <w:tblStyle w:val="Tabellenraster"/>
        <w:tblW w:w="4934" w:type="pc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"/>
        <w:gridCol w:w="3718"/>
        <w:gridCol w:w="377"/>
        <w:gridCol w:w="5475"/>
        <w:gridCol w:w="335"/>
        <w:gridCol w:w="4314"/>
      </w:tblGrid>
      <w:tr w:rsidR="00B109F5" w:rsidRPr="00392E8F" w:rsidTr="008011D2">
        <w:tc>
          <w:tcPr>
            <w:tcW w:w="328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L1:</w:t>
            </w:r>
          </w:p>
        </w:tc>
        <w:tc>
          <w:tcPr>
            <w:tcW w:w="3718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Luft</w:t>
            </w:r>
            <w:r>
              <w:rPr>
                <w:sz w:val="18"/>
                <w:szCs w:val="18"/>
              </w:rPr>
              <w:t>,</w:t>
            </w:r>
            <w:r w:rsidRPr="006E4159">
              <w:rPr>
                <w:sz w:val="18"/>
                <w:szCs w:val="18"/>
              </w:rPr>
              <w:t xml:space="preserve"> Außenluft und allgemein L</w:t>
            </w:r>
            <w:r>
              <w:rPr>
                <w:sz w:val="18"/>
                <w:szCs w:val="18"/>
              </w:rPr>
              <w:t>uft</w:t>
            </w:r>
          </w:p>
        </w:tc>
        <w:tc>
          <w:tcPr>
            <w:tcW w:w="377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L4:</w:t>
            </w:r>
          </w:p>
        </w:tc>
        <w:tc>
          <w:tcPr>
            <w:tcW w:w="5475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Stäube allgemein</w:t>
            </w:r>
          </w:p>
        </w:tc>
        <w:tc>
          <w:tcPr>
            <w:tcW w:w="335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L7:</w:t>
            </w:r>
          </w:p>
        </w:tc>
        <w:tc>
          <w:tcPr>
            <w:tcW w:w="4314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Industriestaub</w:t>
            </w:r>
          </w:p>
        </w:tc>
      </w:tr>
      <w:tr w:rsidR="00B109F5" w:rsidRPr="00392E8F" w:rsidTr="008011D2">
        <w:tc>
          <w:tcPr>
            <w:tcW w:w="328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L2:</w:t>
            </w:r>
          </w:p>
        </w:tc>
        <w:tc>
          <w:tcPr>
            <w:tcW w:w="3718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Innenraumluft</w:t>
            </w:r>
          </w:p>
        </w:tc>
        <w:tc>
          <w:tcPr>
            <w:tcW w:w="377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L5:</w:t>
            </w:r>
          </w:p>
        </w:tc>
        <w:tc>
          <w:tcPr>
            <w:tcW w:w="5475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6E4159">
              <w:rPr>
                <w:sz w:val="18"/>
                <w:szCs w:val="18"/>
              </w:rPr>
              <w:t>aserförmige Stäube</w:t>
            </w:r>
          </w:p>
        </w:tc>
        <w:tc>
          <w:tcPr>
            <w:tcW w:w="335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L8:</w:t>
            </w:r>
          </w:p>
        </w:tc>
        <w:tc>
          <w:tcPr>
            <w:tcW w:w="4314" w:type="dxa"/>
          </w:tcPr>
          <w:p w:rsidR="00B109F5" w:rsidRPr="00392E8F" w:rsidRDefault="00B109F5" w:rsidP="00B97B67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6E4159">
              <w:rPr>
                <w:sz w:val="18"/>
                <w:szCs w:val="18"/>
              </w:rPr>
              <w:t>echnische Gase</w:t>
            </w:r>
          </w:p>
        </w:tc>
      </w:tr>
      <w:tr w:rsidR="00B109F5" w:rsidRPr="00392E8F" w:rsidTr="008011D2">
        <w:tc>
          <w:tcPr>
            <w:tcW w:w="328" w:type="dxa"/>
          </w:tcPr>
          <w:p w:rsidR="00B109F5" w:rsidRPr="00392E8F" w:rsidRDefault="00B109F5" w:rsidP="00B97B67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L3:</w:t>
            </w:r>
          </w:p>
        </w:tc>
        <w:tc>
          <w:tcPr>
            <w:tcW w:w="3718" w:type="dxa"/>
          </w:tcPr>
          <w:p w:rsidR="00B109F5" w:rsidRPr="00392E8F" w:rsidRDefault="00B109F5" w:rsidP="00B97B67">
            <w:pPr>
              <w:pStyle w:val="Endnotentext"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Prüfkammeruntersuchungen</w:t>
            </w:r>
          </w:p>
        </w:tc>
        <w:tc>
          <w:tcPr>
            <w:tcW w:w="377" w:type="dxa"/>
          </w:tcPr>
          <w:p w:rsidR="00B109F5" w:rsidRPr="00392E8F" w:rsidRDefault="00B109F5" w:rsidP="00B97B67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L6:</w:t>
            </w:r>
          </w:p>
        </w:tc>
        <w:tc>
          <w:tcPr>
            <w:tcW w:w="5475" w:type="dxa"/>
          </w:tcPr>
          <w:p w:rsidR="00B109F5" w:rsidRPr="00392E8F" w:rsidRDefault="00B109F5" w:rsidP="00B97B67">
            <w:pPr>
              <w:pStyle w:val="Endnotentext"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Hausstaub</w:t>
            </w:r>
          </w:p>
        </w:tc>
        <w:tc>
          <w:tcPr>
            <w:tcW w:w="335" w:type="dxa"/>
          </w:tcPr>
          <w:p w:rsidR="00B109F5" w:rsidRPr="00392E8F" w:rsidRDefault="00B109F5" w:rsidP="00B97B67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L9:</w:t>
            </w:r>
          </w:p>
        </w:tc>
        <w:tc>
          <w:tcPr>
            <w:tcW w:w="4314" w:type="dxa"/>
          </w:tcPr>
          <w:p w:rsidR="00B109F5" w:rsidRPr="00392E8F" w:rsidRDefault="00B109F5" w:rsidP="00B97B67">
            <w:pPr>
              <w:pStyle w:val="Endnotentext"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Materialuntersuchungen in diesem Sachgebiet</w:t>
            </w:r>
          </w:p>
        </w:tc>
      </w:tr>
    </w:tbl>
    <w:p w:rsidR="00B109F5" w:rsidRPr="00392E8F" w:rsidRDefault="00B109F5" w:rsidP="00B109F5">
      <w:pPr>
        <w:pStyle w:val="Endnotentext"/>
        <w:rPr>
          <w:sz w:val="2"/>
          <w:szCs w:val="2"/>
        </w:rPr>
      </w:pPr>
    </w:p>
  </w:endnote>
  <w:endnote w:id="3">
    <w:p w:rsidR="006B2B4B" w:rsidRPr="008011D2" w:rsidRDefault="006B2B4B" w:rsidP="001449F5">
      <w:pPr>
        <w:pStyle w:val="Endnotentext"/>
        <w:spacing w:before="120"/>
        <w:rPr>
          <w:b/>
          <w:sz w:val="18"/>
          <w:szCs w:val="18"/>
        </w:rPr>
      </w:pPr>
      <w:r w:rsidRPr="008011D2">
        <w:rPr>
          <w:rStyle w:val="Endnotenzeichen"/>
          <w:b/>
          <w:sz w:val="18"/>
          <w:szCs w:val="18"/>
        </w:rPr>
        <w:endnoteRef/>
      </w:r>
      <w:r w:rsidRPr="008011D2">
        <w:rPr>
          <w:b/>
          <w:sz w:val="18"/>
          <w:szCs w:val="18"/>
        </w:rPr>
        <w:t xml:space="preserve"> </w:t>
      </w:r>
      <w:r w:rsidR="008011D2" w:rsidRPr="008011D2">
        <w:rPr>
          <w:b/>
          <w:sz w:val="18"/>
          <w:szCs w:val="18"/>
        </w:rPr>
        <w:t xml:space="preserve"> </w:t>
      </w:r>
      <w:r w:rsidRPr="008011D2">
        <w:rPr>
          <w:rFonts w:eastAsia="Calibri"/>
          <w:b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4B" w:rsidRPr="00357D48" w:rsidRDefault="006B2B4B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6B2B4B" w:rsidRDefault="006B2B4B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6B2B4B" w:rsidRDefault="006B2B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4B" w:rsidRDefault="006B2B4B">
      <w:r>
        <w:separator/>
      </w:r>
    </w:p>
  </w:footnote>
  <w:footnote w:type="continuationSeparator" w:id="0">
    <w:p w:rsidR="006B2B4B" w:rsidRDefault="006B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21"/>
      <w:gridCol w:w="10396"/>
      <w:gridCol w:w="1118"/>
      <w:gridCol w:w="1197"/>
    </w:tblGrid>
    <w:tr w:rsidR="006B2B4B" w:rsidRPr="004E27C4" w:rsidTr="006B2B4B">
      <w:trPr>
        <w:cantSplit/>
      </w:trPr>
      <w:tc>
        <w:tcPr>
          <w:tcW w:w="2052" w:type="dxa"/>
          <w:vMerge w:val="restart"/>
          <w:vAlign w:val="center"/>
        </w:tcPr>
        <w:p w:rsidR="006B2B4B" w:rsidRPr="006B07B0" w:rsidRDefault="006B2B4B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6B2B4B" w:rsidRPr="0082329F" w:rsidRDefault="006B2B4B" w:rsidP="00D842CD">
          <w:pPr>
            <w:jc w:val="center"/>
            <w:rPr>
              <w:b/>
              <w:sz w:val="24"/>
              <w:szCs w:val="24"/>
            </w:rPr>
          </w:pPr>
          <w:r w:rsidRPr="0082329F">
            <w:rPr>
              <w:b/>
              <w:sz w:val="24"/>
              <w:szCs w:val="24"/>
            </w:rPr>
            <w:t>Benennungsumfang für Begutachter/Fachexperten im Fachbereich</w:t>
          </w:r>
        </w:p>
        <w:p w:rsidR="006B2B4B" w:rsidRPr="00D842CD" w:rsidRDefault="006B2B4B" w:rsidP="00D842CD">
          <w:pPr>
            <w:jc w:val="center"/>
            <w:rPr>
              <w:b/>
            </w:rPr>
          </w:pPr>
          <w:r w:rsidRPr="00112E2A">
            <w:rPr>
              <w:b/>
              <w:sz w:val="24"/>
              <w:szCs w:val="24"/>
            </w:rPr>
            <w:t>Immissionsschutz/Gefahrstoffe/Luft</w:t>
          </w:r>
        </w:p>
      </w:tc>
      <w:tc>
        <w:tcPr>
          <w:tcW w:w="2348" w:type="dxa"/>
          <w:gridSpan w:val="2"/>
        </w:tcPr>
        <w:p w:rsidR="006B2B4B" w:rsidRPr="006F7999" w:rsidRDefault="006B2B4B" w:rsidP="00DA117D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6F7999">
            <w:rPr>
              <w:rFonts w:ascii="Calibri" w:hAnsi="Calibri" w:cs="Arial"/>
              <w:b/>
              <w:sz w:val="18"/>
              <w:szCs w:val="18"/>
            </w:rPr>
            <w:t>31</w:t>
          </w:r>
        </w:p>
      </w:tc>
    </w:tr>
    <w:tr w:rsidR="006B2B4B" w:rsidRPr="004E27C4" w:rsidTr="006B2B4B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B2B4B" w:rsidRPr="006F7999" w:rsidRDefault="006B2B4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F7999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6B2B4B" w:rsidRPr="006F7999" w:rsidRDefault="006B2B4B" w:rsidP="006B2B4B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6B2B4B" w:rsidRPr="00732443" w:rsidTr="006B2B4B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B2B4B" w:rsidRPr="006F7999" w:rsidRDefault="006B2B4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F7999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6B2B4B" w:rsidRPr="006F7999" w:rsidRDefault="00B109F5" w:rsidP="00B109F5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6B2B4B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6B2B4B" w:rsidRPr="004E27C4" w:rsidTr="006B2B4B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B2B4B" w:rsidRPr="006F7999" w:rsidRDefault="006B2B4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F7999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6B2B4B" w:rsidRPr="006F7999" w:rsidRDefault="006B2B4B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8011D2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F7999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F7999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F7999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F7999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8011D2">
            <w:rPr>
              <w:rStyle w:val="Seitenzahl"/>
              <w:rFonts w:ascii="Calibri" w:hAnsi="Calibri" w:cs="Arial"/>
              <w:noProof/>
              <w:sz w:val="16"/>
              <w:szCs w:val="16"/>
            </w:rPr>
            <w:t>8</w:t>
          </w:r>
          <w:r w:rsidRPr="006F7999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6B2B4B" w:rsidRPr="007968B9" w:rsidRDefault="006B2B4B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6B2B4B" w:rsidRPr="004E27C4">
      <w:trPr>
        <w:cantSplit/>
      </w:trPr>
      <w:tc>
        <w:tcPr>
          <w:tcW w:w="2770" w:type="dxa"/>
          <w:vMerge w:val="restart"/>
          <w:vAlign w:val="center"/>
        </w:tcPr>
        <w:p w:rsidR="006B2B4B" w:rsidRPr="006B07B0" w:rsidRDefault="006B2B4B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6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6B2B4B" w:rsidRPr="004E27C4" w:rsidRDefault="006B2B4B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6B2B4B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6B2B4B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6B2B4B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6B2B4B" w:rsidRPr="006B07B0" w:rsidRDefault="006B2B4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6B2B4B" w:rsidRPr="006B07B0" w:rsidRDefault="006B2B4B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5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6B2B4B" w:rsidRPr="004E27C4" w:rsidRDefault="006B2B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+vLzspt7LZVWbmnEwhGiovV/XNS4H/okPy6UgfFkbM1/T+kvqViamRqMtFebRO7GKioSDXHDuICgayAr9QoA6g==" w:salt="3Zuk7fwrp14uq1tQx7oDR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5701"/>
    <w:rsid w:val="00006F8F"/>
    <w:rsid w:val="00013237"/>
    <w:rsid w:val="0001381E"/>
    <w:rsid w:val="00027AA9"/>
    <w:rsid w:val="00030134"/>
    <w:rsid w:val="00032054"/>
    <w:rsid w:val="00033E0C"/>
    <w:rsid w:val="000466A1"/>
    <w:rsid w:val="00051454"/>
    <w:rsid w:val="00095DDF"/>
    <w:rsid w:val="000A3751"/>
    <w:rsid w:val="000C0851"/>
    <w:rsid w:val="000C492D"/>
    <w:rsid w:val="000E21A3"/>
    <w:rsid w:val="00106E03"/>
    <w:rsid w:val="00107F27"/>
    <w:rsid w:val="00110416"/>
    <w:rsid w:val="00112E2A"/>
    <w:rsid w:val="00116034"/>
    <w:rsid w:val="001323CB"/>
    <w:rsid w:val="001348DE"/>
    <w:rsid w:val="00135ACA"/>
    <w:rsid w:val="00137D6A"/>
    <w:rsid w:val="00140D07"/>
    <w:rsid w:val="00141431"/>
    <w:rsid w:val="00143F71"/>
    <w:rsid w:val="001449F5"/>
    <w:rsid w:val="00145160"/>
    <w:rsid w:val="00150C84"/>
    <w:rsid w:val="001603F0"/>
    <w:rsid w:val="00160B9C"/>
    <w:rsid w:val="00186218"/>
    <w:rsid w:val="00191893"/>
    <w:rsid w:val="00191A76"/>
    <w:rsid w:val="001B55B1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51C"/>
    <w:rsid w:val="002863EA"/>
    <w:rsid w:val="00290072"/>
    <w:rsid w:val="00291DCB"/>
    <w:rsid w:val="002A2BD4"/>
    <w:rsid w:val="002A3FE9"/>
    <w:rsid w:val="002C2A6A"/>
    <w:rsid w:val="002D2666"/>
    <w:rsid w:val="002D7ECA"/>
    <w:rsid w:val="002E1C85"/>
    <w:rsid w:val="002F1574"/>
    <w:rsid w:val="002F7679"/>
    <w:rsid w:val="00305270"/>
    <w:rsid w:val="003173F2"/>
    <w:rsid w:val="003213B1"/>
    <w:rsid w:val="003240CE"/>
    <w:rsid w:val="003274C9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95A09"/>
    <w:rsid w:val="003A0680"/>
    <w:rsid w:val="003B02F8"/>
    <w:rsid w:val="003B58BC"/>
    <w:rsid w:val="003F5518"/>
    <w:rsid w:val="003F7E38"/>
    <w:rsid w:val="00412731"/>
    <w:rsid w:val="004135ED"/>
    <w:rsid w:val="00416A9F"/>
    <w:rsid w:val="00452614"/>
    <w:rsid w:val="00455C0E"/>
    <w:rsid w:val="00460CC4"/>
    <w:rsid w:val="00477CC4"/>
    <w:rsid w:val="00494F3F"/>
    <w:rsid w:val="00495A87"/>
    <w:rsid w:val="004A489B"/>
    <w:rsid w:val="004A567A"/>
    <w:rsid w:val="004B0DA1"/>
    <w:rsid w:val="004C34A2"/>
    <w:rsid w:val="004D2C96"/>
    <w:rsid w:val="005004E8"/>
    <w:rsid w:val="005035F7"/>
    <w:rsid w:val="00527BB2"/>
    <w:rsid w:val="0056070E"/>
    <w:rsid w:val="00567588"/>
    <w:rsid w:val="00572BE3"/>
    <w:rsid w:val="0058759A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337FF"/>
    <w:rsid w:val="006550F7"/>
    <w:rsid w:val="0066781A"/>
    <w:rsid w:val="00673703"/>
    <w:rsid w:val="00697D58"/>
    <w:rsid w:val="006A13E1"/>
    <w:rsid w:val="006B07B0"/>
    <w:rsid w:val="006B1D28"/>
    <w:rsid w:val="006B2B4B"/>
    <w:rsid w:val="006D22FB"/>
    <w:rsid w:val="006D636D"/>
    <w:rsid w:val="006D790D"/>
    <w:rsid w:val="006E0A03"/>
    <w:rsid w:val="006E21B6"/>
    <w:rsid w:val="006E29B1"/>
    <w:rsid w:val="006E4C7F"/>
    <w:rsid w:val="006F76EF"/>
    <w:rsid w:val="006F7999"/>
    <w:rsid w:val="00700C4C"/>
    <w:rsid w:val="007063A5"/>
    <w:rsid w:val="00716DFA"/>
    <w:rsid w:val="00717FEE"/>
    <w:rsid w:val="00723FCC"/>
    <w:rsid w:val="00732443"/>
    <w:rsid w:val="00732697"/>
    <w:rsid w:val="007532A4"/>
    <w:rsid w:val="00754EF3"/>
    <w:rsid w:val="00765ECB"/>
    <w:rsid w:val="00783637"/>
    <w:rsid w:val="00786FC4"/>
    <w:rsid w:val="0079080A"/>
    <w:rsid w:val="007925E4"/>
    <w:rsid w:val="0079348C"/>
    <w:rsid w:val="007968B9"/>
    <w:rsid w:val="00796F47"/>
    <w:rsid w:val="007A72F7"/>
    <w:rsid w:val="007B1C91"/>
    <w:rsid w:val="007B21CA"/>
    <w:rsid w:val="007D0494"/>
    <w:rsid w:val="007D2CA1"/>
    <w:rsid w:val="007D4924"/>
    <w:rsid w:val="007E7846"/>
    <w:rsid w:val="007F5099"/>
    <w:rsid w:val="008011D2"/>
    <w:rsid w:val="00801A55"/>
    <w:rsid w:val="0080213A"/>
    <w:rsid w:val="008036F7"/>
    <w:rsid w:val="00805C93"/>
    <w:rsid w:val="0080616B"/>
    <w:rsid w:val="008132EE"/>
    <w:rsid w:val="00821D34"/>
    <w:rsid w:val="0082329F"/>
    <w:rsid w:val="00824644"/>
    <w:rsid w:val="00824FE9"/>
    <w:rsid w:val="00825849"/>
    <w:rsid w:val="00825D60"/>
    <w:rsid w:val="00846D1F"/>
    <w:rsid w:val="00846EC6"/>
    <w:rsid w:val="00861774"/>
    <w:rsid w:val="00861AB4"/>
    <w:rsid w:val="00862841"/>
    <w:rsid w:val="00882469"/>
    <w:rsid w:val="00891429"/>
    <w:rsid w:val="00894099"/>
    <w:rsid w:val="0089678F"/>
    <w:rsid w:val="008B109F"/>
    <w:rsid w:val="008B1F99"/>
    <w:rsid w:val="008B3A73"/>
    <w:rsid w:val="008C25D0"/>
    <w:rsid w:val="008C40FC"/>
    <w:rsid w:val="008D0BFC"/>
    <w:rsid w:val="008D325A"/>
    <w:rsid w:val="008E0417"/>
    <w:rsid w:val="008E1AF8"/>
    <w:rsid w:val="008E28A3"/>
    <w:rsid w:val="008F491F"/>
    <w:rsid w:val="00920265"/>
    <w:rsid w:val="00926C17"/>
    <w:rsid w:val="00947CF3"/>
    <w:rsid w:val="009524A1"/>
    <w:rsid w:val="00976681"/>
    <w:rsid w:val="00991AC2"/>
    <w:rsid w:val="009952F3"/>
    <w:rsid w:val="009B0F6E"/>
    <w:rsid w:val="009B2725"/>
    <w:rsid w:val="009C7EF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A0476"/>
    <w:rsid w:val="00AA182E"/>
    <w:rsid w:val="00AA5064"/>
    <w:rsid w:val="00AA7136"/>
    <w:rsid w:val="00AB0F6E"/>
    <w:rsid w:val="00AB1566"/>
    <w:rsid w:val="00AB174C"/>
    <w:rsid w:val="00AB46CB"/>
    <w:rsid w:val="00AC1B2B"/>
    <w:rsid w:val="00AE4FF9"/>
    <w:rsid w:val="00AF06E9"/>
    <w:rsid w:val="00B011EB"/>
    <w:rsid w:val="00B01616"/>
    <w:rsid w:val="00B109F5"/>
    <w:rsid w:val="00B1618B"/>
    <w:rsid w:val="00B272E8"/>
    <w:rsid w:val="00B328EC"/>
    <w:rsid w:val="00B50323"/>
    <w:rsid w:val="00B5106E"/>
    <w:rsid w:val="00B51096"/>
    <w:rsid w:val="00B63A58"/>
    <w:rsid w:val="00B84EBA"/>
    <w:rsid w:val="00B905B9"/>
    <w:rsid w:val="00B91EDC"/>
    <w:rsid w:val="00B97B67"/>
    <w:rsid w:val="00BA6038"/>
    <w:rsid w:val="00BB534E"/>
    <w:rsid w:val="00BE14FC"/>
    <w:rsid w:val="00BE768D"/>
    <w:rsid w:val="00C0353C"/>
    <w:rsid w:val="00C14055"/>
    <w:rsid w:val="00C21D62"/>
    <w:rsid w:val="00C2389A"/>
    <w:rsid w:val="00C31A94"/>
    <w:rsid w:val="00C439C8"/>
    <w:rsid w:val="00C532E5"/>
    <w:rsid w:val="00C63AC8"/>
    <w:rsid w:val="00C746BA"/>
    <w:rsid w:val="00C83C31"/>
    <w:rsid w:val="00C97D3D"/>
    <w:rsid w:val="00CA4A87"/>
    <w:rsid w:val="00CB0EBB"/>
    <w:rsid w:val="00CB525E"/>
    <w:rsid w:val="00CC5B0D"/>
    <w:rsid w:val="00CD0463"/>
    <w:rsid w:val="00CE29C2"/>
    <w:rsid w:val="00CE3B7C"/>
    <w:rsid w:val="00CF08A1"/>
    <w:rsid w:val="00D020BF"/>
    <w:rsid w:val="00D053D7"/>
    <w:rsid w:val="00D0565D"/>
    <w:rsid w:val="00D05F08"/>
    <w:rsid w:val="00D06220"/>
    <w:rsid w:val="00D36395"/>
    <w:rsid w:val="00D41549"/>
    <w:rsid w:val="00D43E5F"/>
    <w:rsid w:val="00D67938"/>
    <w:rsid w:val="00D7110D"/>
    <w:rsid w:val="00D75637"/>
    <w:rsid w:val="00D842CD"/>
    <w:rsid w:val="00DA117D"/>
    <w:rsid w:val="00DA1D62"/>
    <w:rsid w:val="00DA6F1A"/>
    <w:rsid w:val="00DA7B9A"/>
    <w:rsid w:val="00DC3B97"/>
    <w:rsid w:val="00E138AF"/>
    <w:rsid w:val="00E16AAA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0CD2"/>
    <w:rsid w:val="00F10702"/>
    <w:rsid w:val="00F174A5"/>
    <w:rsid w:val="00F727C0"/>
    <w:rsid w:val="00F92E4C"/>
    <w:rsid w:val="00F95CBB"/>
    <w:rsid w:val="00FB5C8C"/>
    <w:rsid w:val="00FD63B0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C31C-FADF-4E9D-BE2C-A3A069D3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1643</Words>
  <Characters>10357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8</cp:revision>
  <cp:lastPrinted>2019-05-09T11:58:00Z</cp:lastPrinted>
  <dcterms:created xsi:type="dcterms:W3CDTF">2022-06-08T13:09:00Z</dcterms:created>
  <dcterms:modified xsi:type="dcterms:W3CDTF">2023-03-01T09:55:00Z</dcterms:modified>
</cp:coreProperties>
</file>