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066"/>
        <w:gridCol w:w="665"/>
        <w:gridCol w:w="3226"/>
        <w:gridCol w:w="630"/>
        <w:gridCol w:w="483"/>
        <w:gridCol w:w="147"/>
        <w:gridCol w:w="630"/>
        <w:gridCol w:w="6578"/>
        <w:gridCol w:w="6"/>
      </w:tblGrid>
      <w:tr w:rsidR="0021011F" w:rsidRPr="00732697" w:rsidTr="00EE01C3">
        <w:trPr>
          <w:cantSplit/>
          <w:tblHeader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11F" w:rsidRPr="007B21CA" w:rsidRDefault="0021011F" w:rsidP="007F5099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11F" w:rsidRPr="007B21CA" w:rsidRDefault="0021011F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11F" w:rsidRPr="007B21CA" w:rsidRDefault="0021011F" w:rsidP="00756EB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36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11F" w:rsidRPr="00882469" w:rsidRDefault="0021011F" w:rsidP="00882469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FD2690" w:rsidRPr="00FD2690">
              <w:rPr>
                <w:sz w:val="18"/>
                <w:szCs w:val="18"/>
              </w:rPr>
              <w:t>Akademischer Abschluss</w:t>
            </w:r>
            <w:r w:rsidR="00FD2690">
              <w:rPr>
                <w:sz w:val="18"/>
                <w:szCs w:val="18"/>
              </w:rPr>
              <w:t>,</w:t>
            </w:r>
            <w:r w:rsidR="00FD2690" w:rsidRPr="00FD2690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21011F" w:rsidRPr="00732697" w:rsidTr="00EE01C3">
        <w:trPr>
          <w:cantSplit/>
          <w:tblHeader/>
        </w:trPr>
        <w:tc>
          <w:tcPr>
            <w:tcW w:w="2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011F" w:rsidRPr="007B21CA" w:rsidRDefault="0021011F" w:rsidP="00882469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1"/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011F" w:rsidRPr="007B21CA" w:rsidRDefault="0021011F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11F" w:rsidRPr="007B21CA" w:rsidRDefault="0021011F" w:rsidP="00756EB7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36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011F" w:rsidRPr="00732697" w:rsidRDefault="0021011F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1011F" w:rsidRPr="007F5099" w:rsidTr="00F538B0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11F" w:rsidRPr="007F5099" w:rsidRDefault="0021011F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13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1F" w:rsidRPr="007F5099" w:rsidRDefault="0021011F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F538B0" w:rsidRPr="00732697" w:rsidTr="00EE01C3">
        <w:trPr>
          <w:cantSplit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0C37BB" w:rsidRDefault="00F538B0" w:rsidP="00882469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732697" w:rsidRDefault="00F538B0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732697" w:rsidRDefault="00F538B0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C16B40" w:rsidRDefault="00F538B0" w:rsidP="00EE01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3068B">
              <w:rPr>
                <w:rFonts w:asciiTheme="minorHAnsi" w:hAnsiTheme="minorHAnsi"/>
                <w:b/>
                <w:sz w:val="20"/>
              </w:rPr>
              <w:t>Zutreffende Akkred.-</w:t>
            </w:r>
            <w:r w:rsidR="00EE01C3">
              <w:rPr>
                <w:rFonts w:asciiTheme="minorHAnsi" w:hAnsiTheme="minorHAnsi"/>
                <w:b/>
                <w:sz w:val="20"/>
              </w:rPr>
              <w:br/>
            </w:r>
            <w:r w:rsidRPr="00E3068B">
              <w:rPr>
                <w:rFonts w:asciiTheme="minorHAnsi" w:hAnsiTheme="minorHAnsi"/>
                <w:b/>
                <w:sz w:val="20"/>
              </w:rPr>
              <w:t>Aktivität ankreuzen</w:t>
            </w:r>
            <w:r w:rsidRPr="00E3068B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F538B0" w:rsidRDefault="00F538B0" w:rsidP="00F538B0">
            <w:pPr>
              <w:ind w:left="1455" w:hanging="145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F538B0" w:rsidRPr="00732697" w:rsidTr="00EE01C3">
        <w:trPr>
          <w:cantSplit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0C37BB" w:rsidRDefault="00F538B0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732697" w:rsidRDefault="00F538B0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732697" w:rsidRDefault="00F538B0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38B0" w:rsidRPr="00E3068B" w:rsidRDefault="00F538B0" w:rsidP="00882469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8B0" w:rsidRPr="00E3068B" w:rsidRDefault="00F538B0" w:rsidP="00D842CD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38B0" w:rsidRPr="00E3068B" w:rsidRDefault="00F538B0" w:rsidP="00D842CD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38B0" w:rsidRPr="00732697" w:rsidRDefault="00F538B0" w:rsidP="0088246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Bitte Matrizes</w:t>
            </w:r>
            <w:r>
              <w:rPr>
                <w:rStyle w:val="Endnotenzeichen"/>
                <w:rFonts w:asciiTheme="minorHAnsi" w:hAnsiTheme="minorHAnsi"/>
                <w:b/>
                <w:color w:val="FF0000"/>
                <w:sz w:val="20"/>
              </w:rPr>
              <w:endnoteReference w:id="2"/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angeben</w:t>
            </w:r>
          </w:p>
        </w:tc>
      </w:tr>
      <w:tr w:rsidR="00A1517B" w:rsidRPr="00B91EDC" w:rsidTr="00F538B0">
        <w:trPr>
          <w:cantSplit/>
        </w:trPr>
        <w:tc>
          <w:tcPr>
            <w:tcW w:w="79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17B" w:rsidRPr="00B011EB" w:rsidRDefault="00A1517B" w:rsidP="00756EB7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Boden/Altlasten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7B" w:rsidRPr="00B91EDC" w:rsidRDefault="00A1517B" w:rsidP="00756EB7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1517B" w:rsidRPr="00B91EDC" w:rsidTr="00F538B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17B" w:rsidRPr="000745FD" w:rsidRDefault="00A1517B" w:rsidP="00756EB7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17B" w:rsidRPr="00B011EB" w:rsidRDefault="00A1517B" w:rsidP="00756EB7">
            <w:pPr>
              <w:keepNext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Boden</w:t>
            </w:r>
            <w:r w:rsidRPr="00B011EB">
              <w:rPr>
                <w:rFonts w:asciiTheme="minorHAnsi" w:hAnsiTheme="minorHAnsi"/>
                <w:b/>
                <w:sz w:val="20"/>
              </w:rPr>
              <w:t>, gesetzlich nicht geregelter Bereich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7B" w:rsidRPr="00B91EDC" w:rsidRDefault="00A1517B" w:rsidP="00756EB7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460CC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Verfahren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8C49E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</w:t>
            </w:r>
            <w:r w:rsidR="008C49E3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Flüssigchromato</w:t>
            </w:r>
            <w:r w:rsidR="008C49E3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graphie (LC)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Default="0021011F" w:rsidP="008C49E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</w:t>
            </w:r>
            <w:r w:rsidR="008C49E3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Flüssigchromato</w:t>
            </w:r>
            <w:r w:rsidR="008C49E3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graphie mit Massenspektrometrie</w:t>
            </w:r>
            <w:r w:rsidR="008C49E3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Kopplung (LC-MS)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8C49E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</w:t>
            </w:r>
            <w:r w:rsidR="008C49E3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Flüssigchromato</w:t>
            </w:r>
            <w:r w:rsidR="008C49E3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graphie mit Tandem-Massenspektro</w:t>
            </w:r>
            <w:r w:rsidR="008C49E3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metrie-Kopplung (LC-MS/MS)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Default="0021011F" w:rsidP="00460CC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Gaschromatographie (GC)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7D725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Gaschromatographie-Massenspektrometrie (GC-MS)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8C49E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Chromatographie - Hochleistungs</w:t>
            </w:r>
            <w:r w:rsidR="008C49E3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flüssigkeitschromatographie (HPLC)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8C49E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Chromatographie </w:t>
            </w:r>
            <w:r w:rsidR="008C49E3">
              <w:rPr>
                <w:rFonts w:cs="Calibri"/>
                <w:color w:val="000000"/>
                <w:sz w:val="20"/>
              </w:rPr>
              <w:t>-</w:t>
            </w:r>
            <w:r>
              <w:rPr>
                <w:rFonts w:cs="Calibri"/>
                <w:color w:val="000000"/>
                <w:sz w:val="20"/>
              </w:rPr>
              <w:t xml:space="preserve"> Ionenchromato</w:t>
            </w:r>
            <w:r w:rsidR="008C49E3">
              <w:rPr>
                <w:rFonts w:cs="Calibri"/>
                <w:color w:val="000000"/>
                <w:sz w:val="20"/>
              </w:rPr>
              <w:softHyphen/>
            </w:r>
            <w:r>
              <w:rPr>
                <w:rFonts w:cs="Calibri"/>
                <w:color w:val="000000"/>
                <w:sz w:val="20"/>
              </w:rPr>
              <w:t>graphie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460CC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Dioxine/Furane (GC-HRMS)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460CC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Dioxine/Furane (GC-LRMS)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Default="0021011F" w:rsidP="00460CC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Elektrochemische Verfahren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011F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11F" w:rsidRPr="000745FD" w:rsidRDefault="0021011F" w:rsidP="00460CC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Default="0021011F" w:rsidP="00460CC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Fotometrie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1F" w:rsidRPr="00B91EDC" w:rsidRDefault="0021011F" w:rsidP="00460C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141C31" w:rsidRDefault="00FD78A4" w:rsidP="00FD78A4">
            <w:pPr>
              <w:rPr>
                <w:rFonts w:cs="Calibri"/>
                <w:color w:val="000000"/>
                <w:sz w:val="20"/>
              </w:rPr>
            </w:pPr>
            <w:r w:rsidRPr="00141C31">
              <w:rPr>
                <w:rFonts w:cs="Calibri"/>
                <w:color w:val="000000"/>
                <w:sz w:val="20"/>
              </w:rPr>
              <w:t>Geothermie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Gravimetrie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Maßanalyse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Ökotoxizitätstest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Parameter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Probenvorbehandlung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Radiologische Verfahren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– Atomabsorptions</w:t>
            </w:r>
            <w:r>
              <w:rPr>
                <w:rFonts w:cs="Calibri"/>
                <w:color w:val="000000"/>
                <w:sz w:val="20"/>
              </w:rPr>
              <w:softHyphen/>
              <w:t>spektrometrie (AAS)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Atomemissionsspektrometrie mit induktiv gekoppeltem Plasma (ICP-OES)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Massenspektrometrie (MS)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Spektrometrie - Massenspektrometrie mit induktiv gekoppeltem Plasma (ICP-MS)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Spezialverfahren (Extraliste)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3F0894" w:rsidRDefault="00FD78A4" w:rsidP="00FD78A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Summarische Wirkungs- u. Stoffkenn</w:t>
            </w:r>
            <w:r>
              <w:rPr>
                <w:rFonts w:cs="Calibri"/>
                <w:color w:val="000000"/>
                <w:sz w:val="20"/>
              </w:rPr>
              <w:softHyphen/>
              <w:t>größen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F538B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Default="00FD78A4" w:rsidP="00FD78A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6E21B6">
              <w:rPr>
                <w:rFonts w:asciiTheme="minorHAnsi" w:hAnsiTheme="minorHAnsi"/>
                <w:b/>
                <w:sz w:val="20"/>
              </w:rPr>
              <w:t xml:space="preserve">Fachmodul </w:t>
            </w:r>
            <w:r>
              <w:rPr>
                <w:rFonts w:asciiTheme="minorHAnsi" w:hAnsiTheme="minorHAnsi"/>
                <w:b/>
                <w:sz w:val="20"/>
              </w:rPr>
              <w:t>Boden/Altlasten</w:t>
            </w:r>
          </w:p>
          <w:p w:rsidR="00FD78A4" w:rsidRPr="006E21B6" w:rsidRDefault="00FD78A4" w:rsidP="00FD78A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bei Beantragung dieses Sachgebiets bitte die letzte</w:t>
            </w: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n</w:t>
            </w: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 xml:space="preserve"> Seiten ausfüllen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TB 1.2 Feststoffe, Labor - Analytik anorganische Parameter; Basisparameter u. Probenvorbereitung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01381E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TB 1.2 Feststoffe, Labor - Analytik anorganische Parameter; Parameterumfang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01381E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TB 1.3 Feststoffe, Labor - Analytik organische Parameter; Basisparameter u. Proben</w:t>
            </w:r>
            <w:r>
              <w:rPr>
                <w:rFonts w:cs="Calibri"/>
                <w:color w:val="000000"/>
                <w:sz w:val="20"/>
              </w:rPr>
              <w:softHyphen/>
              <w:t>vorbereitung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1381E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TB 1.3 Feststoffe, Labor - Analytik organische Parameter; Parameterumfang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01381E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TB 1.4 Feststoffe, Labor - Analytik </w:t>
            </w:r>
            <w:r>
              <w:rPr>
                <w:rFonts w:cs="Calibri"/>
                <w:color w:val="000000"/>
                <w:sz w:val="20"/>
              </w:rPr>
              <w:br/>
              <w:t>Dioxine u. Furane; Basisparameter und Probenvorbereitung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TB 1.4 Feststoffe, Labor - Analytik </w:t>
            </w:r>
            <w:r>
              <w:rPr>
                <w:rFonts w:cs="Calibri"/>
                <w:color w:val="000000"/>
                <w:sz w:val="20"/>
              </w:rPr>
              <w:br/>
              <w:t>Dioxine u. Furane; Parameterumfang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TB 2.2 Eluate, Perkolate, wässrige Medien, Labor - Analytik anorganische Parameter, Elutionsverfahren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CD5C8F" w:rsidRDefault="00FD78A4" w:rsidP="00FD78A4">
            <w:pPr>
              <w:rPr>
                <w:rFonts w:cs="Calibri"/>
                <w:color w:val="000000"/>
                <w:sz w:val="20"/>
              </w:rPr>
            </w:pPr>
            <w:r w:rsidRPr="00CD5C8F">
              <w:rPr>
                <w:rFonts w:cs="Calibri"/>
                <w:color w:val="000000"/>
                <w:sz w:val="20"/>
              </w:rPr>
              <w:t>TB 2.2 Eluate, Perkolate, wässrige Medien, Labor - Analytik anorganische Parameter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CD5C8F" w:rsidRDefault="00FD78A4" w:rsidP="00FD78A4">
            <w:pPr>
              <w:rPr>
                <w:rFonts w:cs="Calibri"/>
                <w:color w:val="000000"/>
                <w:sz w:val="20"/>
              </w:rPr>
            </w:pPr>
            <w:r w:rsidRPr="00CD5C8F">
              <w:rPr>
                <w:rFonts w:cs="Calibri"/>
                <w:color w:val="000000"/>
                <w:sz w:val="20"/>
              </w:rPr>
              <w:t>TB 2.3 Eluate, Perkolate, wässrige Medien, Labor - Analytik organische Parameter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CD5C8F" w:rsidRDefault="00FD78A4" w:rsidP="00FD78A4">
            <w:pPr>
              <w:rPr>
                <w:rFonts w:cs="Calibri"/>
                <w:color w:val="000000"/>
                <w:sz w:val="20"/>
              </w:rPr>
            </w:pPr>
            <w:r w:rsidRPr="00CD5C8F">
              <w:rPr>
                <w:rFonts w:cs="Calibri"/>
                <w:color w:val="000000"/>
                <w:sz w:val="20"/>
              </w:rPr>
              <w:t>TB 2.3 Eluate, Perkolate, wässrige Medien, Labor - Analytik organische Parameter, Elutionsverfahren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745FD" w:rsidRDefault="00FD78A4" w:rsidP="00FD78A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TB 3.2 Bodenluft, Deponiegas - </w:t>
            </w:r>
            <w:r>
              <w:rPr>
                <w:rFonts w:cs="Calibri"/>
                <w:color w:val="000000"/>
                <w:sz w:val="20"/>
              </w:rPr>
              <w:br/>
              <w:t xml:space="preserve">Labor - Analytik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01381E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F538B0">
        <w:trPr>
          <w:gridAfter w:val="1"/>
          <w:wAfter w:w="6" w:type="dxa"/>
          <w:cantSplit/>
        </w:trPr>
        <w:tc>
          <w:tcPr>
            <w:tcW w:w="79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Pr="00D842CD" w:rsidRDefault="00FD78A4" w:rsidP="00FD78A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842CD">
              <w:rPr>
                <w:rFonts w:cs="Times New Roman"/>
                <w:b/>
                <w:sz w:val="20"/>
              </w:rPr>
              <w:t xml:space="preserve">Probenahme Umweltbereich, </w:t>
            </w:r>
            <w:r>
              <w:rPr>
                <w:rFonts w:cs="Times New Roman"/>
                <w:b/>
                <w:sz w:val="20"/>
              </w:rPr>
              <w:t>Boden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D78A4" w:rsidRPr="00B91EDC" w:rsidTr="00F538B0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Default="00FD78A4" w:rsidP="00FD78A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842CD">
              <w:rPr>
                <w:rFonts w:asciiTheme="minorHAnsi" w:hAnsiTheme="minorHAnsi"/>
                <w:b/>
                <w:sz w:val="20"/>
              </w:rPr>
              <w:t xml:space="preserve">Fachmodul </w:t>
            </w:r>
            <w:r>
              <w:rPr>
                <w:rFonts w:asciiTheme="minorHAnsi" w:hAnsiTheme="minorHAnsi"/>
                <w:b/>
                <w:sz w:val="20"/>
              </w:rPr>
              <w:t>Boden/Altlasten</w:t>
            </w:r>
          </w:p>
          <w:p w:rsidR="00FD78A4" w:rsidRPr="00D842CD" w:rsidRDefault="00FD78A4" w:rsidP="00FD78A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bei Beantragung dieses Sachgebiets bitte die letzte</w:t>
            </w:r>
            <w:r>
              <w:rPr>
                <w:rFonts w:cs="Times New Roman"/>
                <w:b/>
                <w:bCs/>
                <w:color w:val="FF0000"/>
                <w:sz w:val="18"/>
                <w:szCs w:val="18"/>
              </w:rPr>
              <w:t>n</w:t>
            </w:r>
            <w:r w:rsidRPr="00354C36">
              <w:rPr>
                <w:rFonts w:cs="Times New Roman"/>
                <w:b/>
                <w:bCs/>
                <w:color w:val="FF0000"/>
                <w:sz w:val="18"/>
                <w:szCs w:val="18"/>
              </w:rPr>
              <w:t xml:space="preserve"> Seiten ausfüllen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TB 1.1 Feststoffe, Probenahme und </w:t>
            </w:r>
            <w:r>
              <w:rPr>
                <w:rFonts w:cs="Calibri"/>
                <w:color w:val="000000"/>
                <w:sz w:val="20"/>
              </w:rPr>
              <w:br/>
              <w:t>Vor-Ort-Untersuchungen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7968B9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7968B9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TB 2.1 Eluate, Perkolate, wässrige Medien, Probenahme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TB 2.1 Eluate, Perkolate, wässrige Medien, Vor-Ort-Untersuchungen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TB 3.1 Bodenluft, Deponiegas - Probenahme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TB 3.1 Bodenluft, Deponiegas - </w:t>
            </w:r>
            <w:r>
              <w:rPr>
                <w:rFonts w:cs="Calibri"/>
                <w:color w:val="000000"/>
                <w:sz w:val="20"/>
              </w:rPr>
              <w:br/>
              <w:t>Vor-Ort-Untersuchungen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FA6F86" w:rsidRDefault="00FD78A4" w:rsidP="00FD78A4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F538B0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Pr="00460CC4" w:rsidRDefault="00FD78A4" w:rsidP="00FD78A4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460CC4">
              <w:rPr>
                <w:b/>
                <w:sz w:val="20"/>
              </w:rPr>
              <w:t>Geotechnik/Baugrund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Chemische Laboruntersuchungen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für chemische Unter</w:t>
            </w:r>
            <w:r>
              <w:rPr>
                <w:rFonts w:cs="Calibri"/>
                <w:color w:val="000000"/>
                <w:sz w:val="20"/>
              </w:rPr>
              <w:softHyphen/>
              <w:t>suchungen, inkl. Vor-Ort-Parameter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F538B0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8A4" w:rsidRPr="00D842CD" w:rsidRDefault="00FD78A4" w:rsidP="00FD78A4">
            <w:pPr>
              <w:keepNext/>
              <w:rPr>
                <w:rFonts w:asciiTheme="minorHAnsi" w:hAnsiTheme="minorHAnsi"/>
                <w:sz w:val="20"/>
              </w:rPr>
            </w:pPr>
            <w:r w:rsidRPr="00460CC4">
              <w:rPr>
                <w:rFonts w:cs="Calibri"/>
                <w:b/>
                <w:color w:val="000000"/>
                <w:sz w:val="20"/>
              </w:rPr>
              <w:t>Probenahme Boden, gesetzlich nicht geregelt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keepNext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Bodenluft und Deponiegas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Fingerprobe im Gelände, Bodenansprache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Handbohrungen, Probenahme an Schürfen, Kleinrammbohrungen, Mischproben von Flächen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Vor-Ort- u. Feldparameter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78A4" w:rsidRPr="00B91EDC" w:rsidTr="00EE01C3">
        <w:trPr>
          <w:gridAfter w:val="1"/>
          <w:wAfter w:w="6" w:type="dxa"/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2E1C85" w:rsidRDefault="00FD78A4" w:rsidP="00FD78A4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Default="00FD78A4" w:rsidP="00FD78A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Wässrige Medien (z. B. Schichten-, Sicker- und Grundwasser)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C477CA">
              <w:rPr>
                <w:rFonts w:asciiTheme="minorHAnsi" w:hAnsiTheme="minorHAnsi"/>
                <w:sz w:val="20"/>
                <w:lang w:val="en-GB"/>
              </w:rPr>
            </w:r>
            <w:r w:rsidR="00C477CA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A4" w:rsidRPr="00B91EDC" w:rsidRDefault="00FD78A4" w:rsidP="00FD78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756EB7" w:rsidRDefault="00756E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bookmarkEnd w:id="0"/>
    <w:p w:rsidR="006E21B6" w:rsidRPr="00810C0C" w:rsidRDefault="006E21B6" w:rsidP="00756EB7">
      <w:pPr>
        <w:keepNext/>
        <w:autoSpaceDE w:val="0"/>
        <w:autoSpaceDN w:val="0"/>
        <w:adjustRightInd w:val="0"/>
        <w:spacing w:before="240" w:after="120"/>
        <w:rPr>
          <w:rFonts w:eastAsia="Calibri"/>
          <w:b/>
          <w:color w:val="FF0000"/>
          <w:sz w:val="28"/>
          <w:szCs w:val="28"/>
          <w:lang w:eastAsia="en-US"/>
        </w:rPr>
      </w:pPr>
      <w:r w:rsidRPr="00810C0C">
        <w:rPr>
          <w:rFonts w:eastAsia="Calibri"/>
          <w:b/>
          <w:color w:val="FF0000"/>
          <w:sz w:val="28"/>
          <w:szCs w:val="28"/>
          <w:lang w:eastAsia="en-US"/>
        </w:rPr>
        <w:lastRenderedPageBreak/>
        <w:t xml:space="preserve">Erklärung des Antragstellers zu den Anforderungen an Fachbegutachter im Bereich der Fachmoduls </w:t>
      </w:r>
      <w:r w:rsidR="00460CC4">
        <w:rPr>
          <w:rFonts w:eastAsia="Calibri"/>
          <w:b/>
          <w:color w:val="FF0000"/>
          <w:sz w:val="28"/>
          <w:szCs w:val="28"/>
          <w:lang w:eastAsia="en-US"/>
        </w:rPr>
        <w:t>Boden/Altlasten</w:t>
      </w:r>
    </w:p>
    <w:p w:rsidR="006E21B6" w:rsidRPr="005E6AF6" w:rsidRDefault="006E21B6" w:rsidP="00756EB7">
      <w:pPr>
        <w:keepNext/>
        <w:autoSpaceDE w:val="0"/>
        <w:autoSpaceDN w:val="0"/>
        <w:adjustRightInd w:val="0"/>
        <w:spacing w:after="60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 xml:space="preserve">Ich verfüge als Fachbegutachter mindestens über die im jeweiligen Fachmodul geforderte Qualifikation für die Laborleitung bzw. für den </w:t>
      </w:r>
      <w:r>
        <w:rPr>
          <w:rFonts w:eastAsia="Calibri"/>
          <w:b/>
          <w:szCs w:val="22"/>
          <w:lang w:eastAsia="en-US"/>
        </w:rPr>
        <w:t>fachlich Verantwortlichen</w:t>
      </w:r>
      <w:r w:rsidRPr="005E6AF6">
        <w:rPr>
          <w:rFonts w:eastAsia="Calibri"/>
          <w:b/>
          <w:szCs w:val="22"/>
          <w:lang w:eastAsia="en-US"/>
        </w:rPr>
        <w:t xml:space="preserve"> im Bereich des Fachmoduls</w:t>
      </w:r>
      <w:r>
        <w:rPr>
          <w:rFonts w:eastAsia="Calibri"/>
          <w:b/>
          <w:szCs w:val="22"/>
          <w:lang w:eastAsia="en-US"/>
        </w:rPr>
        <w:t xml:space="preserve"> </w:t>
      </w:r>
      <w:r w:rsidR="00460CC4">
        <w:rPr>
          <w:rFonts w:eastAsia="Calibri"/>
          <w:b/>
          <w:szCs w:val="22"/>
          <w:lang w:eastAsia="en-US"/>
        </w:rPr>
        <w:t>Boden/Altlasten.</w:t>
      </w:r>
    </w:p>
    <w:p w:rsidR="006E21B6" w:rsidRPr="005E6AF6" w:rsidRDefault="006E21B6" w:rsidP="00756EB7">
      <w:pPr>
        <w:autoSpaceDE w:val="0"/>
        <w:autoSpaceDN w:val="0"/>
        <w:adjustRightInd w:val="0"/>
        <w:spacing w:before="240" w:after="120"/>
        <w:rPr>
          <w:rFonts w:eastAsia="Calibri"/>
          <w:b/>
          <w:szCs w:val="22"/>
          <w:lang w:eastAsia="en-US"/>
        </w:rPr>
      </w:pPr>
      <w:r w:rsidRPr="005E6AF6">
        <w:rPr>
          <w:rFonts w:eastAsia="Calibri"/>
          <w:b/>
          <w:szCs w:val="22"/>
          <w:lang w:eastAsia="en-US"/>
        </w:rPr>
        <w:t>Ich erfülle die "Regeln zum Begutachterwesen" der DAkkS - 71 SD 0 008 - und darüber hinaus nachfolgende spezielle Anforderungen wie:</w:t>
      </w:r>
    </w:p>
    <w:p w:rsidR="006E21B6" w:rsidRPr="005E6AF6" w:rsidRDefault="006E21B6" w:rsidP="006E21B6">
      <w:pPr>
        <w:tabs>
          <w:tab w:val="left" w:pos="426"/>
        </w:tabs>
        <w:autoSpaceDE w:val="0"/>
        <w:autoSpaceDN w:val="0"/>
        <w:adjustRightInd w:val="0"/>
        <w:spacing w:after="120" w:line="288" w:lineRule="auto"/>
        <w:ind w:left="426" w:hanging="426"/>
        <w:rPr>
          <w:szCs w:val="22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Pr="005E6AF6">
        <w:rPr>
          <w:rFonts w:eastAsia="Calibri"/>
          <w:szCs w:val="22"/>
          <w:lang w:eastAsia="en-US"/>
        </w:rPr>
        <w:tab/>
      </w:r>
      <w:r w:rsidR="007D7253">
        <w:rPr>
          <w:rFonts w:eastAsia="Calibri"/>
          <w:szCs w:val="22"/>
          <w:lang w:eastAsia="en-US"/>
        </w:rPr>
        <w:t>M</w:t>
      </w:r>
      <w:r w:rsidRPr="005E6AF6">
        <w:rPr>
          <w:szCs w:val="22"/>
        </w:rPr>
        <w:t>indestens 4-jährige zusammenhängende praktische Berufserfahrung</w:t>
      </w:r>
      <w:r>
        <w:rPr>
          <w:szCs w:val="22"/>
        </w:rPr>
        <w:t xml:space="preserve"> </w:t>
      </w:r>
      <w:r w:rsidRPr="005E6AF6">
        <w:rPr>
          <w:szCs w:val="22"/>
        </w:rPr>
        <w:t>(hauptberufliche Tätigkeit (≥ 19 Wochenstunden)) im Rahmen der Konformitätsbewertung in einem Labor oder einer Messstelle in dem künftigen Einsatzgebiet des Fachbegutachters.</w:t>
      </w:r>
      <w:r w:rsidRPr="005E6AF6">
        <w:rPr>
          <w:szCs w:val="22"/>
        </w:rPr>
        <w:br/>
        <w:t>Diese Tätigkeit darf im Zeitraum der Benennung bzw. der Tätigkeit als Fachbegutachter nicht länger als 4 Jahre zurückliegen.</w:t>
      </w:r>
    </w:p>
    <w:p w:rsidR="006E21B6" w:rsidRDefault="006E21B6" w:rsidP="006E21B6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Erfahrungen und Kenntnisse -dem jeweiligen Begutachtungsauftrag angemessen- zur Bewertung von normgerechten Qualitätsmanagementsystemen</w:t>
      </w:r>
    </w:p>
    <w:p w:rsidR="006E21B6" w:rsidRDefault="006E21B6" w:rsidP="006E21B6">
      <w:pPr>
        <w:autoSpaceDE w:val="0"/>
        <w:autoSpaceDN w:val="0"/>
        <w:adjustRightInd w:val="0"/>
        <w:spacing w:after="120" w:line="288" w:lineRule="auto"/>
        <w:ind w:left="426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="007D7253">
        <w:rPr>
          <w:rFonts w:eastAsia="Calibri"/>
          <w:szCs w:val="22"/>
          <w:lang w:eastAsia="en-US"/>
        </w:rPr>
        <w:tab/>
        <w:t>D</w:t>
      </w:r>
      <w:r w:rsidRPr="00183763">
        <w:rPr>
          <w:rFonts w:eastAsia="Calibri"/>
          <w:szCs w:val="22"/>
          <w:lang w:eastAsia="en-US"/>
        </w:rPr>
        <w:t>etaillierte Kenntnisse der einschlägigen Normen zur Probenahme und deren praktischen Anwendung</w:t>
      </w:r>
    </w:p>
    <w:p w:rsidR="006E21B6" w:rsidRPr="00F63D3E" w:rsidRDefault="006E21B6" w:rsidP="006E21B6">
      <w:pPr>
        <w:pStyle w:val="Default"/>
        <w:ind w:left="426" w:hanging="426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756EB7">
        <w:rPr>
          <w:rFonts w:asciiTheme="minorHAnsi" w:eastAsia="Calibri" w:hAnsiTheme="minorHAnsi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56EB7">
        <w:rPr>
          <w:rFonts w:asciiTheme="minorHAnsi" w:eastAsia="Calibri" w:hAnsiTheme="minorHAnsi"/>
          <w:sz w:val="22"/>
          <w:szCs w:val="22"/>
          <w:lang w:eastAsia="en-US"/>
        </w:rPr>
        <w:instrText xml:space="preserve"> FORMCHECKBOX </w:instrText>
      </w:r>
      <w:r w:rsidR="00C477CA">
        <w:rPr>
          <w:rFonts w:asciiTheme="minorHAnsi" w:eastAsia="Calibri" w:hAnsiTheme="minorHAnsi"/>
          <w:sz w:val="22"/>
          <w:szCs w:val="22"/>
          <w:lang w:eastAsia="en-US"/>
        </w:rPr>
      </w:r>
      <w:r w:rsidR="00C477CA">
        <w:rPr>
          <w:rFonts w:asciiTheme="minorHAnsi" w:eastAsia="Calibri" w:hAnsiTheme="minorHAnsi"/>
          <w:sz w:val="22"/>
          <w:szCs w:val="22"/>
          <w:lang w:eastAsia="en-US"/>
        </w:rPr>
        <w:fldChar w:fldCharType="separate"/>
      </w:r>
      <w:r w:rsidRPr="00756EB7">
        <w:rPr>
          <w:rFonts w:asciiTheme="minorHAnsi" w:eastAsia="Calibri" w:hAnsiTheme="minorHAnsi"/>
          <w:sz w:val="22"/>
          <w:szCs w:val="22"/>
          <w:lang w:eastAsia="en-US"/>
        </w:rPr>
        <w:fldChar w:fldCharType="end"/>
      </w:r>
      <w:r w:rsidR="007D7253">
        <w:rPr>
          <w:rFonts w:eastAsia="Calibri"/>
          <w:szCs w:val="22"/>
          <w:lang w:eastAsia="en-US"/>
        </w:rPr>
        <w:tab/>
      </w:r>
      <w:r w:rsidR="007D7253" w:rsidRPr="00756EB7">
        <w:rPr>
          <w:rFonts w:ascii="Calibri" w:eastAsia="Calibri" w:hAnsi="Calibri" w:cs="Arial"/>
          <w:color w:val="auto"/>
          <w:sz w:val="22"/>
          <w:szCs w:val="22"/>
          <w:lang w:eastAsia="en-US"/>
        </w:rPr>
        <w:t>D</w:t>
      </w:r>
      <w:r w:rsidRPr="00183763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etaillierte Kenntnisse der einschlägigen Normen der Anhänge des jeweiligen Fachmoduls </w:t>
      </w:r>
      <w:r w:rsidRPr="00F63D3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einschließlich der mess- und gerätetechnischen Voraussetzungen </w:t>
      </w:r>
    </w:p>
    <w:p w:rsidR="006E21B6" w:rsidRPr="00183763" w:rsidRDefault="006E21B6" w:rsidP="00756EB7">
      <w:pPr>
        <w:autoSpaceDE w:val="0"/>
        <w:autoSpaceDN w:val="0"/>
        <w:adjustRightInd w:val="0"/>
        <w:spacing w:before="120"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in EDV-gestützten Laborinformationssystemen</w:t>
      </w:r>
    </w:p>
    <w:p w:rsidR="006E21B6" w:rsidRDefault="006E21B6" w:rsidP="006E21B6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>
        <w:rPr>
          <w:rFonts w:eastAsia="Calibri"/>
          <w:szCs w:val="22"/>
          <w:lang w:eastAsia="en-US"/>
        </w:rPr>
        <w:tab/>
        <w:t>Teilnahme an DAkkS-Schulungen</w:t>
      </w:r>
    </w:p>
    <w:p w:rsidR="006E21B6" w:rsidRPr="005E6AF6" w:rsidRDefault="006E21B6" w:rsidP="006E21B6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5E6AF6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E6AF6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5E6AF6">
        <w:rPr>
          <w:rFonts w:eastAsia="Calibri"/>
          <w:szCs w:val="22"/>
          <w:lang w:eastAsia="en-US"/>
        </w:rPr>
        <w:fldChar w:fldCharType="end"/>
      </w:r>
      <w:r w:rsidRPr="005E6AF6">
        <w:rPr>
          <w:rFonts w:eastAsia="Calibri"/>
          <w:szCs w:val="22"/>
          <w:lang w:eastAsia="en-US"/>
        </w:rPr>
        <w:tab/>
      </w:r>
      <w:r w:rsidR="007D7253">
        <w:rPr>
          <w:rFonts w:eastAsia="Calibri"/>
          <w:szCs w:val="22"/>
          <w:lang w:eastAsia="en-US"/>
        </w:rPr>
        <w:t>D</w:t>
      </w:r>
      <w:r w:rsidRPr="005E6AF6">
        <w:rPr>
          <w:rFonts w:eastAsia="Calibri"/>
          <w:szCs w:val="22"/>
          <w:lang w:eastAsia="en-US"/>
        </w:rPr>
        <w:t>etaillierte Kenntnisse der aktuellen Anforderungen aus dem Fachmodul entsprechend den Einsatzgebieten sowie der DAkkS-Regel 71 SD 4 030</w:t>
      </w:r>
    </w:p>
    <w:p w:rsidR="006E21B6" w:rsidRPr="00183763" w:rsidRDefault="006E21B6" w:rsidP="006E21B6">
      <w:pPr>
        <w:autoSpaceDE w:val="0"/>
        <w:autoSpaceDN w:val="0"/>
        <w:adjustRightInd w:val="0"/>
        <w:spacing w:after="120" w:line="288" w:lineRule="auto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</w:r>
      <w:r w:rsidR="007D7253">
        <w:rPr>
          <w:rFonts w:eastAsia="Calibri"/>
          <w:szCs w:val="22"/>
          <w:lang w:eastAsia="en-US"/>
        </w:rPr>
        <w:t>D</w:t>
      </w:r>
      <w:r w:rsidRPr="00183763">
        <w:rPr>
          <w:rFonts w:eastAsia="Calibri"/>
          <w:szCs w:val="22"/>
          <w:lang w:eastAsia="en-US"/>
        </w:rPr>
        <w:t>etaillierte Kenntnisse der LAWA-AQS-Merkblätter</w:t>
      </w:r>
    </w:p>
    <w:p w:rsidR="006E21B6" w:rsidRPr="00183763" w:rsidRDefault="006E21B6" w:rsidP="006E21B6">
      <w:pPr>
        <w:autoSpaceDE w:val="0"/>
        <w:autoSpaceDN w:val="0"/>
        <w:adjustRightInd w:val="0"/>
        <w:ind w:left="425" w:hanging="425"/>
        <w:rPr>
          <w:rFonts w:eastAsia="Calibri"/>
          <w:szCs w:val="22"/>
          <w:lang w:eastAsia="en-US"/>
        </w:rPr>
      </w:pPr>
      <w:r w:rsidRPr="00183763">
        <w:rPr>
          <w:rFonts w:eastAsia="Calibri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83763">
        <w:rPr>
          <w:rFonts w:eastAsia="Calibri"/>
          <w:szCs w:val="22"/>
          <w:lang w:eastAsia="en-US"/>
        </w:rPr>
        <w:instrText xml:space="preserve"> FORMCHECKBOX </w:instrText>
      </w:r>
      <w:r w:rsidR="00C477CA">
        <w:rPr>
          <w:rFonts w:eastAsia="Calibri"/>
          <w:szCs w:val="22"/>
          <w:lang w:eastAsia="en-US"/>
        </w:rPr>
      </w:r>
      <w:r w:rsidR="00C477CA">
        <w:rPr>
          <w:rFonts w:eastAsia="Calibri"/>
          <w:szCs w:val="22"/>
          <w:lang w:eastAsia="en-US"/>
        </w:rPr>
        <w:fldChar w:fldCharType="separate"/>
      </w:r>
      <w:r w:rsidRPr="00183763">
        <w:rPr>
          <w:rFonts w:eastAsia="Calibri"/>
          <w:szCs w:val="22"/>
          <w:lang w:eastAsia="en-US"/>
        </w:rPr>
        <w:fldChar w:fldCharType="end"/>
      </w:r>
      <w:r w:rsidRPr="00183763">
        <w:rPr>
          <w:rFonts w:eastAsia="Calibri"/>
          <w:szCs w:val="22"/>
          <w:lang w:eastAsia="en-US"/>
        </w:rPr>
        <w:tab/>
        <w:t>Kenntnisse des Abwasserabgabengesetzes, der Abwasserverordnung sowie der einschlägigen länderspezifischen Gesetze und Verordnungen</w:t>
      </w:r>
    </w:p>
    <w:p w:rsidR="006E21B6" w:rsidRPr="00756EB7" w:rsidRDefault="006E21B6" w:rsidP="00756EB7">
      <w:pPr>
        <w:autoSpaceDE w:val="0"/>
        <w:autoSpaceDN w:val="0"/>
        <w:adjustRightInd w:val="0"/>
        <w:spacing w:before="240" w:after="120"/>
        <w:rPr>
          <w:rFonts w:eastAsia="Calibri"/>
          <w:b/>
          <w:szCs w:val="22"/>
          <w:lang w:eastAsia="en-US"/>
        </w:rPr>
      </w:pPr>
      <w:r w:rsidRPr="00756EB7">
        <w:rPr>
          <w:rFonts w:eastAsia="Calibri"/>
          <w:b/>
          <w:szCs w:val="22"/>
          <w:lang w:eastAsia="en-US"/>
        </w:rPr>
        <w:t>Sonstige Anmerkungen, wenn Abweichungen des Antragstellers von den Anforderungen vorliegen (z. B. Ergänzungen zur Fachkompetenz):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756EB7">
            <w:pPr>
              <w:autoSpaceDE w:val="0"/>
              <w:autoSpaceDN w:val="0"/>
              <w:adjustRightInd w:val="0"/>
              <w:spacing w:before="40" w:after="20"/>
              <w:ind w:left="280" w:hanging="1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756EB7">
            <w:pPr>
              <w:autoSpaceDE w:val="0"/>
              <w:autoSpaceDN w:val="0"/>
              <w:adjustRightInd w:val="0"/>
              <w:spacing w:before="40" w:after="20"/>
              <w:ind w:left="280" w:hanging="1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756EB7">
            <w:pPr>
              <w:autoSpaceDE w:val="0"/>
              <w:autoSpaceDN w:val="0"/>
              <w:adjustRightInd w:val="0"/>
              <w:spacing w:before="40" w:after="20"/>
              <w:ind w:left="280" w:hanging="1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756EB7">
            <w:pPr>
              <w:autoSpaceDE w:val="0"/>
              <w:autoSpaceDN w:val="0"/>
              <w:adjustRightInd w:val="0"/>
              <w:spacing w:before="40" w:after="20"/>
              <w:ind w:left="280" w:hanging="1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6E21B6" w:rsidRPr="005E6AF6" w:rsidTr="006E21B6">
        <w:tc>
          <w:tcPr>
            <w:tcW w:w="14742" w:type="dxa"/>
            <w:shd w:val="clear" w:color="auto" w:fill="auto"/>
          </w:tcPr>
          <w:p w:rsidR="006E21B6" w:rsidRPr="005E6AF6" w:rsidRDefault="006E21B6" w:rsidP="00756EB7">
            <w:pPr>
              <w:autoSpaceDE w:val="0"/>
              <w:autoSpaceDN w:val="0"/>
              <w:adjustRightInd w:val="0"/>
              <w:spacing w:before="40" w:after="20"/>
              <w:ind w:left="280" w:hanging="196"/>
              <w:rPr>
                <w:rFonts w:eastAsia="Calibri"/>
                <w:szCs w:val="22"/>
                <w:lang w:eastAsia="en-US"/>
              </w:rPr>
            </w:pPr>
            <w:r w:rsidRPr="005E6AF6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6AF6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5E6AF6">
              <w:rPr>
                <w:rFonts w:eastAsia="Calibri"/>
                <w:szCs w:val="22"/>
                <w:lang w:eastAsia="en-US"/>
              </w:rPr>
            </w:r>
            <w:r w:rsidRPr="005E6AF6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5E6AF6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</w:tbl>
    <w:p w:rsidR="00051454" w:rsidRPr="00051454" w:rsidRDefault="00051454" w:rsidP="00756EB7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F538B0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921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395"/>
      </w:tblGrid>
      <w:tr w:rsidR="00051454" w:rsidRPr="00051454" w:rsidTr="00141C31">
        <w:trPr>
          <w:cantSplit/>
          <w:trHeight w:val="340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141C31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7D7253">
              <w:rPr>
                <w:rStyle w:val="Endnotenzeichen"/>
                <w:b/>
                <w:bCs/>
                <w:szCs w:val="22"/>
              </w:rPr>
              <w:endnoteReference w:id="3"/>
            </w:r>
            <w:bookmarkEnd w:id="2"/>
          </w:p>
        </w:tc>
      </w:tr>
    </w:tbl>
    <w:p w:rsidR="00051454" w:rsidRPr="00051454" w:rsidRDefault="00051454" w:rsidP="00141C31">
      <w:pPr>
        <w:keepNext/>
        <w:spacing w:before="24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7D7253">
        <w:rPr>
          <w:szCs w:val="22"/>
        </w:rPr>
        <w:t>die</w:t>
      </w:r>
      <w:r w:rsidR="007D7253" w:rsidRPr="00051454">
        <w:rPr>
          <w:szCs w:val="22"/>
        </w:rPr>
        <w:t xml:space="preserve"> Fachbereichs</w:t>
      </w:r>
      <w:r w:rsidR="007D7253">
        <w:rPr>
          <w:szCs w:val="22"/>
        </w:rPr>
        <w:t>leitung</w:t>
      </w:r>
      <w:r w:rsidR="007D7253" w:rsidRPr="00051454">
        <w:rPr>
          <w:szCs w:val="22"/>
        </w:rPr>
        <w:t xml:space="preserve"> (FB</w:t>
      </w:r>
      <w:r w:rsidR="007D7253">
        <w:rPr>
          <w:szCs w:val="22"/>
        </w:rPr>
        <w:t>L</w:t>
      </w:r>
      <w:r w:rsidR="007D7253" w:rsidRPr="00051454">
        <w:rPr>
          <w:szCs w:val="22"/>
        </w:rPr>
        <w:t xml:space="preserve">) </w:t>
      </w:r>
      <w:r w:rsidRPr="00051454">
        <w:rPr>
          <w:szCs w:val="22"/>
        </w:rPr>
        <w:t xml:space="preserve">zum oben </w:t>
      </w:r>
      <w:r w:rsidR="00141C31">
        <w:rPr>
          <w:szCs w:val="22"/>
        </w:rPr>
        <w:t>abgezeichneten Benennungsumfang:</w:t>
      </w:r>
    </w:p>
    <w:tbl>
      <w:tblPr>
        <w:tblW w:w="425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51454" w:rsidRPr="00051454" w:rsidTr="00141C31">
        <w:trPr>
          <w:cantSplit/>
          <w:trHeight w:val="964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756EB7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141C31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756EB7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7D7253">
              <w:rPr>
                <w:b/>
                <w:bCs/>
                <w:szCs w:val="22"/>
              </w:rPr>
              <w:t>L</w:t>
            </w:r>
            <w:r w:rsidR="007D7253" w:rsidRPr="007D7253">
              <w:rPr>
                <w:b/>
                <w:bCs/>
                <w:szCs w:val="22"/>
                <w:vertAlign w:val="superscript"/>
              </w:rPr>
              <w:t>3</w:t>
            </w:r>
          </w:p>
        </w:tc>
      </w:tr>
    </w:tbl>
    <w:p w:rsidR="00051454" w:rsidRPr="003213B1" w:rsidRDefault="00051454" w:rsidP="00051454">
      <w:pPr>
        <w:rPr>
          <w:szCs w:val="22"/>
        </w:rPr>
      </w:pPr>
    </w:p>
    <w:sectPr w:rsidR="00051454" w:rsidRPr="003213B1" w:rsidSect="007D7253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C3" w:rsidRDefault="00EE01C3">
      <w:r>
        <w:separator/>
      </w:r>
    </w:p>
  </w:endnote>
  <w:endnote w:type="continuationSeparator" w:id="0">
    <w:p w:rsidR="00EE01C3" w:rsidRDefault="00EE01C3">
      <w:r>
        <w:continuationSeparator/>
      </w:r>
    </w:p>
  </w:endnote>
  <w:endnote w:id="1">
    <w:p w:rsidR="00EE01C3" w:rsidRPr="008B073C" w:rsidRDefault="00EE01C3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AA1FBF">
        <w:rPr>
          <w:rStyle w:val="Endnotenzeichen"/>
          <w:b/>
          <w:szCs w:val="18"/>
        </w:rPr>
        <w:endnoteRef/>
      </w:r>
      <w:r>
        <w:rPr>
          <w:sz w:val="18"/>
          <w:szCs w:val="18"/>
        </w:rPr>
        <w:t xml:space="preserve">  </w:t>
      </w:r>
      <w:r w:rsidRPr="00AA1FBF">
        <w:rPr>
          <w:b/>
          <w:sz w:val="18"/>
          <w:szCs w:val="18"/>
        </w:rPr>
        <w:t>Bereiche der Konformitätsbewertungsaktivitäten der DAkkS:</w:t>
      </w:r>
    </w:p>
    <w:tbl>
      <w:tblPr>
        <w:tblW w:w="4947" w:type="pct"/>
        <w:tblInd w:w="1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162"/>
        <w:gridCol w:w="2740"/>
        <w:gridCol w:w="382"/>
        <w:gridCol w:w="1124"/>
        <w:gridCol w:w="4006"/>
        <w:gridCol w:w="399"/>
        <w:gridCol w:w="1204"/>
        <w:gridCol w:w="3007"/>
      </w:tblGrid>
      <w:tr w:rsidR="00EE01C3" w:rsidRPr="00C913A0" w:rsidTr="00756EB7">
        <w:tc>
          <w:tcPr>
            <w:tcW w:w="392" w:type="dxa"/>
            <w:shd w:val="clear" w:color="auto" w:fill="auto"/>
            <w:tcMar>
              <w:left w:w="0" w:type="dxa"/>
            </w:tcMar>
          </w:tcPr>
          <w:p w:rsidR="00EE01C3" w:rsidRPr="00C913A0" w:rsidRDefault="00EE01C3" w:rsidP="000E4B4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1162" w:type="dxa"/>
          </w:tcPr>
          <w:p w:rsidR="00EE01C3" w:rsidRPr="00756EB7" w:rsidRDefault="00EE01C3" w:rsidP="00756EB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56EB7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740" w:type="dxa"/>
            <w:shd w:val="clear" w:color="auto" w:fill="auto"/>
          </w:tcPr>
          <w:p w:rsidR="00EE01C3" w:rsidRPr="00C913A0" w:rsidRDefault="00EE01C3" w:rsidP="000E4B4B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  <w:r w:rsidRPr="00C91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:rsidR="00EE01C3" w:rsidRPr="000E4B4B" w:rsidRDefault="00EE01C3" w:rsidP="000E4B4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0E4B4B"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1124" w:type="dxa"/>
          </w:tcPr>
          <w:p w:rsidR="00EE01C3" w:rsidRPr="00756EB7" w:rsidRDefault="00EE01C3" w:rsidP="00756EB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56EB7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4006" w:type="dxa"/>
            <w:shd w:val="clear" w:color="auto" w:fill="auto"/>
          </w:tcPr>
          <w:p w:rsidR="00EE01C3" w:rsidRPr="00C913A0" w:rsidRDefault="00EE01C3" w:rsidP="000E4B4B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  <w:tc>
          <w:tcPr>
            <w:tcW w:w="399" w:type="dxa"/>
            <w:shd w:val="clear" w:color="auto" w:fill="auto"/>
          </w:tcPr>
          <w:p w:rsidR="00EE01C3" w:rsidRPr="00C913A0" w:rsidRDefault="00EE01C3" w:rsidP="000E4B4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204" w:type="dxa"/>
          </w:tcPr>
          <w:p w:rsidR="00EE01C3" w:rsidRPr="00756EB7" w:rsidRDefault="00EE01C3" w:rsidP="00756EB7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56EB7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3007" w:type="dxa"/>
            <w:shd w:val="clear" w:color="auto" w:fill="auto"/>
          </w:tcPr>
          <w:p w:rsidR="00EE01C3" w:rsidRPr="00C913A0" w:rsidRDefault="00EE01C3" w:rsidP="000E4B4B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</w:tr>
    </w:tbl>
    <w:p w:rsidR="00EE01C3" w:rsidRPr="008B073C" w:rsidRDefault="00EE01C3" w:rsidP="00191893">
      <w:pPr>
        <w:pStyle w:val="Endnotentext"/>
        <w:rPr>
          <w:sz w:val="2"/>
          <w:szCs w:val="2"/>
        </w:rPr>
      </w:pPr>
    </w:p>
  </w:endnote>
  <w:endnote w:id="2">
    <w:p w:rsidR="00EE01C3" w:rsidRDefault="00EE01C3" w:rsidP="00F538B0">
      <w:pPr>
        <w:pStyle w:val="Endnotentext"/>
        <w:keepNext/>
        <w:spacing w:before="120"/>
        <w:ind w:left="142" w:hanging="142"/>
        <w:rPr>
          <w:sz w:val="18"/>
          <w:szCs w:val="18"/>
        </w:rPr>
      </w:pPr>
      <w:r w:rsidRPr="00AA1FBF">
        <w:rPr>
          <w:rStyle w:val="Endnotenzeichen"/>
          <w:b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 w:rsidRPr="00AA1FBF">
        <w:rPr>
          <w:b/>
          <w:sz w:val="18"/>
          <w:szCs w:val="18"/>
        </w:rPr>
        <w:t>Matrizes:</w:t>
      </w:r>
    </w:p>
    <w:tbl>
      <w:tblPr>
        <w:tblStyle w:val="Tabellenraster"/>
        <w:tblW w:w="4942" w:type="pc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360"/>
        <w:gridCol w:w="5142"/>
        <w:gridCol w:w="383"/>
        <w:gridCol w:w="4224"/>
      </w:tblGrid>
      <w:tr w:rsidR="00EE01C3" w:rsidRPr="00392E8F" w:rsidTr="00756EB7">
        <w:tc>
          <w:tcPr>
            <w:tcW w:w="378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92E8F">
              <w:rPr>
                <w:sz w:val="18"/>
                <w:szCs w:val="18"/>
              </w:rPr>
              <w:t>1:</w:t>
            </w:r>
          </w:p>
        </w:tc>
        <w:tc>
          <w:tcPr>
            <w:tcW w:w="3914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Boden</w:t>
            </w:r>
            <w:r w:rsidRPr="0097459C">
              <w:rPr>
                <w:sz w:val="18"/>
                <w:szCs w:val="18"/>
              </w:rPr>
              <w:t xml:space="preserve"> allgemein</w:t>
            </w:r>
          </w:p>
        </w:tc>
        <w:tc>
          <w:tcPr>
            <w:tcW w:w="360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92E8F">
              <w:rPr>
                <w:sz w:val="18"/>
                <w:szCs w:val="18"/>
              </w:rPr>
              <w:t>4:</w:t>
            </w:r>
          </w:p>
        </w:tc>
        <w:tc>
          <w:tcPr>
            <w:tcW w:w="5142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Kompost, organogene Substrate, Mutterboden</w:t>
            </w:r>
          </w:p>
        </w:tc>
        <w:tc>
          <w:tcPr>
            <w:tcW w:w="383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92E8F">
              <w:rPr>
                <w:sz w:val="18"/>
                <w:szCs w:val="18"/>
              </w:rPr>
              <w:t>7:</w:t>
            </w:r>
          </w:p>
        </w:tc>
        <w:tc>
          <w:tcPr>
            <w:tcW w:w="4224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Erze und geogene Rohstoffe</w:t>
            </w:r>
          </w:p>
        </w:tc>
      </w:tr>
      <w:tr w:rsidR="00EE01C3" w:rsidRPr="00392E8F" w:rsidTr="00756EB7">
        <w:tc>
          <w:tcPr>
            <w:tcW w:w="378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92E8F">
              <w:rPr>
                <w:sz w:val="18"/>
                <w:szCs w:val="18"/>
              </w:rPr>
              <w:t>2:</w:t>
            </w:r>
          </w:p>
        </w:tc>
        <w:tc>
          <w:tcPr>
            <w:tcW w:w="3914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natürliche und landwirtschaftliche</w:t>
            </w:r>
            <w:r>
              <w:rPr>
                <w:sz w:val="18"/>
                <w:szCs w:val="18"/>
              </w:rPr>
              <w:t xml:space="preserve"> Böden</w:t>
            </w:r>
          </w:p>
        </w:tc>
        <w:tc>
          <w:tcPr>
            <w:tcW w:w="360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92E8F">
              <w:rPr>
                <w:sz w:val="18"/>
                <w:szCs w:val="18"/>
              </w:rPr>
              <w:t>5:</w:t>
            </w:r>
          </w:p>
        </w:tc>
        <w:tc>
          <w:tcPr>
            <w:tcW w:w="5142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Boden als Baugrund</w:t>
            </w:r>
          </w:p>
        </w:tc>
        <w:tc>
          <w:tcPr>
            <w:tcW w:w="383" w:type="dxa"/>
          </w:tcPr>
          <w:p w:rsidR="00EE01C3" w:rsidRPr="00392E8F" w:rsidRDefault="00EE01C3" w:rsidP="0001381E">
            <w:pPr>
              <w:pStyle w:val="Endnotentext"/>
              <w:keepNext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E01C3" w:rsidRPr="00392E8F" w:rsidRDefault="00EE01C3" w:rsidP="00765ECB">
            <w:pPr>
              <w:pStyle w:val="Endnotentext"/>
              <w:keepNext/>
              <w:rPr>
                <w:sz w:val="18"/>
                <w:szCs w:val="18"/>
              </w:rPr>
            </w:pPr>
          </w:p>
        </w:tc>
      </w:tr>
      <w:tr w:rsidR="00EE01C3" w:rsidRPr="00392E8F" w:rsidTr="00756EB7">
        <w:tc>
          <w:tcPr>
            <w:tcW w:w="378" w:type="dxa"/>
          </w:tcPr>
          <w:p w:rsidR="00EE01C3" w:rsidRPr="00392E8F" w:rsidRDefault="00EE01C3" w:rsidP="00765ECB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92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14" w:type="dxa"/>
          </w:tcPr>
          <w:p w:rsidR="00EE01C3" w:rsidRPr="00392E8F" w:rsidRDefault="00EE01C3" w:rsidP="00765ECB">
            <w:pPr>
              <w:pStyle w:val="Endnotentext"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Kontaminierte</w:t>
            </w:r>
            <w:r>
              <w:rPr>
                <w:sz w:val="18"/>
                <w:szCs w:val="18"/>
              </w:rPr>
              <w:t xml:space="preserve"> Böden</w:t>
            </w:r>
          </w:p>
        </w:tc>
        <w:tc>
          <w:tcPr>
            <w:tcW w:w="360" w:type="dxa"/>
          </w:tcPr>
          <w:p w:rsidR="00EE01C3" w:rsidRPr="00392E8F" w:rsidRDefault="00EE01C3" w:rsidP="00765ECB">
            <w:pPr>
              <w:pStyle w:val="Endno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92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42" w:type="dxa"/>
          </w:tcPr>
          <w:p w:rsidR="00EE01C3" w:rsidRPr="00392E8F" w:rsidRDefault="00EE01C3" w:rsidP="00765ECB">
            <w:pPr>
              <w:pStyle w:val="Endnotentext"/>
              <w:rPr>
                <w:sz w:val="18"/>
                <w:szCs w:val="18"/>
              </w:rPr>
            </w:pPr>
            <w:r w:rsidRPr="006E4159">
              <w:rPr>
                <w:sz w:val="18"/>
                <w:szCs w:val="18"/>
              </w:rPr>
              <w:t>Bodenluft und -gase</w:t>
            </w:r>
          </w:p>
        </w:tc>
        <w:tc>
          <w:tcPr>
            <w:tcW w:w="383" w:type="dxa"/>
          </w:tcPr>
          <w:p w:rsidR="00EE01C3" w:rsidRPr="00392E8F" w:rsidRDefault="00EE01C3" w:rsidP="00765ECB">
            <w:pPr>
              <w:pStyle w:val="Endnotentext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E01C3" w:rsidRPr="00392E8F" w:rsidRDefault="00EE01C3" w:rsidP="00765ECB">
            <w:pPr>
              <w:pStyle w:val="Endnotentext"/>
              <w:rPr>
                <w:sz w:val="18"/>
                <w:szCs w:val="18"/>
              </w:rPr>
            </w:pPr>
          </w:p>
        </w:tc>
      </w:tr>
      <w:tr w:rsidR="00EE01C3" w:rsidRPr="00392E8F" w:rsidTr="00756EB7">
        <w:tc>
          <w:tcPr>
            <w:tcW w:w="14401" w:type="dxa"/>
            <w:gridSpan w:val="6"/>
          </w:tcPr>
          <w:p w:rsidR="00EE01C3" w:rsidRPr="00392E8F" w:rsidRDefault="00EE01C3" w:rsidP="00F538B0">
            <w:pPr>
              <w:pStyle w:val="Endnotentext"/>
              <w:spacing w:before="60"/>
              <w:rPr>
                <w:sz w:val="18"/>
                <w:szCs w:val="18"/>
              </w:rPr>
            </w:pPr>
            <w:r w:rsidRPr="006E4159">
              <w:rPr>
                <w:b/>
                <w:sz w:val="18"/>
                <w:szCs w:val="18"/>
              </w:rPr>
              <w:t>Achtung: Für normale Bodenphysik erfolgt eine gesonderte Benennung!</w:t>
            </w:r>
          </w:p>
        </w:tc>
      </w:tr>
    </w:tbl>
    <w:p w:rsidR="00EE01C3" w:rsidRPr="00392E8F" w:rsidRDefault="00EE01C3" w:rsidP="00F538B0">
      <w:pPr>
        <w:pStyle w:val="Endnotentext"/>
        <w:rPr>
          <w:sz w:val="2"/>
          <w:szCs w:val="2"/>
        </w:rPr>
      </w:pPr>
    </w:p>
  </w:endnote>
  <w:endnote w:id="3">
    <w:p w:rsidR="00EE01C3" w:rsidRPr="007B339B" w:rsidRDefault="00EE01C3" w:rsidP="00F538B0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C3" w:rsidRPr="00357D48" w:rsidRDefault="00EE01C3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EE01C3" w:rsidRDefault="00EE01C3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EE01C3" w:rsidRDefault="00EE0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C3" w:rsidRDefault="00EE01C3">
      <w:r>
        <w:separator/>
      </w:r>
    </w:p>
  </w:footnote>
  <w:footnote w:type="continuationSeparator" w:id="0">
    <w:p w:rsidR="00EE01C3" w:rsidRDefault="00EE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EE01C3" w:rsidRPr="004E27C4" w:rsidTr="007D7253">
      <w:trPr>
        <w:cantSplit/>
      </w:trPr>
      <w:tc>
        <w:tcPr>
          <w:tcW w:w="2052" w:type="dxa"/>
          <w:vMerge w:val="restart"/>
          <w:vAlign w:val="center"/>
        </w:tcPr>
        <w:p w:rsidR="00EE01C3" w:rsidRPr="006B07B0" w:rsidRDefault="00EE01C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EE01C3" w:rsidRPr="0082329F" w:rsidRDefault="00EE01C3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:rsidR="00EE01C3" w:rsidRPr="00D842CD" w:rsidRDefault="00EE01C3" w:rsidP="00D842CD">
          <w:pPr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Boden/Altlasten</w:t>
          </w:r>
        </w:p>
      </w:tc>
      <w:tc>
        <w:tcPr>
          <w:tcW w:w="2348" w:type="dxa"/>
          <w:gridSpan w:val="2"/>
        </w:tcPr>
        <w:p w:rsidR="00EE01C3" w:rsidRPr="00263E2A" w:rsidRDefault="00EE01C3" w:rsidP="00B436E9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263E2A">
            <w:rPr>
              <w:rFonts w:ascii="Calibri" w:hAnsi="Calibri" w:cs="Arial"/>
              <w:b/>
              <w:sz w:val="18"/>
              <w:szCs w:val="18"/>
            </w:rPr>
            <w:t>029</w:t>
          </w:r>
        </w:p>
      </w:tc>
    </w:tr>
    <w:tr w:rsidR="00EE01C3" w:rsidRPr="004E27C4" w:rsidTr="007D7253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E01C3" w:rsidRPr="00263E2A" w:rsidRDefault="00EE01C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263E2A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EE01C3" w:rsidRPr="00263E2A" w:rsidRDefault="00EE01C3" w:rsidP="007D7253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263E2A">
            <w:rPr>
              <w:rFonts w:ascii="Calibri" w:hAnsi="Calibri" w:cs="Arial"/>
              <w:bCs/>
              <w:sz w:val="16"/>
            </w:rPr>
            <w:t>1.</w:t>
          </w:r>
          <w:r w:rsidR="00FD78A4">
            <w:rPr>
              <w:rFonts w:ascii="Calibri" w:hAnsi="Calibri" w:cs="Arial"/>
              <w:bCs/>
              <w:sz w:val="16"/>
            </w:rPr>
            <w:t>3</w:t>
          </w:r>
        </w:p>
      </w:tc>
    </w:tr>
    <w:tr w:rsidR="00EE01C3" w:rsidRPr="00732443" w:rsidTr="007D7253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E01C3" w:rsidRPr="00263E2A" w:rsidRDefault="00EE01C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263E2A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EE01C3" w:rsidRPr="00263E2A" w:rsidRDefault="00FD78A4" w:rsidP="000D743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19.04.2024</w:t>
          </w:r>
        </w:p>
      </w:tc>
    </w:tr>
    <w:tr w:rsidR="00EE01C3" w:rsidRPr="004E27C4" w:rsidTr="007D7253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141C31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141C31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EE01C3" w:rsidRPr="007968B9" w:rsidRDefault="00EE01C3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EE01C3" w:rsidRPr="004E27C4">
      <w:trPr>
        <w:cantSplit/>
      </w:trPr>
      <w:tc>
        <w:tcPr>
          <w:tcW w:w="2770" w:type="dxa"/>
          <w:vMerge w:val="restart"/>
          <w:vAlign w:val="center"/>
        </w:tcPr>
        <w:p w:rsidR="00EE01C3" w:rsidRPr="006B07B0" w:rsidRDefault="00EE01C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EE01C3" w:rsidRPr="004E27C4" w:rsidRDefault="00EE01C3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EE01C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EE01C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EE01C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EE01C3" w:rsidRPr="006B07B0" w:rsidRDefault="00EE01C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EE01C3" w:rsidRPr="006B07B0" w:rsidRDefault="00EE01C3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EE01C3" w:rsidRPr="004E27C4" w:rsidRDefault="00EE0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cumentProtection w:edit="forms" w:enforcement="1" w:cryptProviderType="rsaAES" w:cryptAlgorithmClass="hash" w:cryptAlgorithmType="typeAny" w:cryptAlgorithmSid="14" w:cryptSpinCount="100000" w:hash="adRhuNrOFeBoI3n7pxYSuovTF0DZQKAnyGrkX6UM17+iwG3acGssOehasKEIQeQSX6CD2elucXDC5hb24JI3TQ==" w:salt="f73EZ5ZJD1fMhLuQAcMci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E1"/>
    <w:rsid w:val="000017E3"/>
    <w:rsid w:val="000054DE"/>
    <w:rsid w:val="00006F8F"/>
    <w:rsid w:val="00013237"/>
    <w:rsid w:val="0001381E"/>
    <w:rsid w:val="00027AA9"/>
    <w:rsid w:val="00030134"/>
    <w:rsid w:val="00032054"/>
    <w:rsid w:val="00033E0C"/>
    <w:rsid w:val="000466A1"/>
    <w:rsid w:val="00051454"/>
    <w:rsid w:val="000A3751"/>
    <w:rsid w:val="000C0851"/>
    <w:rsid w:val="000C492D"/>
    <w:rsid w:val="000D7432"/>
    <w:rsid w:val="000E4B4B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1C31"/>
    <w:rsid w:val="00143F71"/>
    <w:rsid w:val="00145160"/>
    <w:rsid w:val="00150C84"/>
    <w:rsid w:val="001603F0"/>
    <w:rsid w:val="00160B9C"/>
    <w:rsid w:val="00186218"/>
    <w:rsid w:val="00191893"/>
    <w:rsid w:val="00191A76"/>
    <w:rsid w:val="001B55B1"/>
    <w:rsid w:val="001F2026"/>
    <w:rsid w:val="0020242D"/>
    <w:rsid w:val="002062C1"/>
    <w:rsid w:val="0021011F"/>
    <w:rsid w:val="002259EC"/>
    <w:rsid w:val="00233C9B"/>
    <w:rsid w:val="00235E1D"/>
    <w:rsid w:val="00243E20"/>
    <w:rsid w:val="00252E43"/>
    <w:rsid w:val="002609C5"/>
    <w:rsid w:val="00263D14"/>
    <w:rsid w:val="00263E2A"/>
    <w:rsid w:val="00267865"/>
    <w:rsid w:val="0027351C"/>
    <w:rsid w:val="002863EA"/>
    <w:rsid w:val="00291DCB"/>
    <w:rsid w:val="002A2BD4"/>
    <w:rsid w:val="002A3FE9"/>
    <w:rsid w:val="002D2666"/>
    <w:rsid w:val="002D7ECA"/>
    <w:rsid w:val="002E1C85"/>
    <w:rsid w:val="002F7679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74947"/>
    <w:rsid w:val="00383BC1"/>
    <w:rsid w:val="00393B0B"/>
    <w:rsid w:val="00395A09"/>
    <w:rsid w:val="003A0680"/>
    <w:rsid w:val="003B02F8"/>
    <w:rsid w:val="003B58BC"/>
    <w:rsid w:val="003F5518"/>
    <w:rsid w:val="003F7E38"/>
    <w:rsid w:val="00412731"/>
    <w:rsid w:val="004135ED"/>
    <w:rsid w:val="00416A9F"/>
    <w:rsid w:val="00452614"/>
    <w:rsid w:val="00455C0E"/>
    <w:rsid w:val="00460CC4"/>
    <w:rsid w:val="00477CC4"/>
    <w:rsid w:val="00494F3F"/>
    <w:rsid w:val="004A489B"/>
    <w:rsid w:val="004B0DA1"/>
    <w:rsid w:val="004C34A2"/>
    <w:rsid w:val="004D2C96"/>
    <w:rsid w:val="005004E8"/>
    <w:rsid w:val="005035F7"/>
    <w:rsid w:val="00527BB2"/>
    <w:rsid w:val="0056070E"/>
    <w:rsid w:val="00572BE3"/>
    <w:rsid w:val="005A1417"/>
    <w:rsid w:val="005A73FB"/>
    <w:rsid w:val="005B1042"/>
    <w:rsid w:val="005B1599"/>
    <w:rsid w:val="005B2398"/>
    <w:rsid w:val="005B42D4"/>
    <w:rsid w:val="005C6591"/>
    <w:rsid w:val="005D4805"/>
    <w:rsid w:val="005E263E"/>
    <w:rsid w:val="005E55AB"/>
    <w:rsid w:val="005E6303"/>
    <w:rsid w:val="005F4F21"/>
    <w:rsid w:val="006020EA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1B6"/>
    <w:rsid w:val="006E29B1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56EB7"/>
    <w:rsid w:val="00765ECB"/>
    <w:rsid w:val="00783637"/>
    <w:rsid w:val="0079080A"/>
    <w:rsid w:val="007925E4"/>
    <w:rsid w:val="00793054"/>
    <w:rsid w:val="0079348C"/>
    <w:rsid w:val="007968B9"/>
    <w:rsid w:val="00796F47"/>
    <w:rsid w:val="00797939"/>
    <w:rsid w:val="007A72F7"/>
    <w:rsid w:val="007B21CA"/>
    <w:rsid w:val="007D0494"/>
    <w:rsid w:val="007D2CA1"/>
    <w:rsid w:val="007D4924"/>
    <w:rsid w:val="007D7253"/>
    <w:rsid w:val="007E7846"/>
    <w:rsid w:val="007F5099"/>
    <w:rsid w:val="00801A55"/>
    <w:rsid w:val="0080213A"/>
    <w:rsid w:val="008036F7"/>
    <w:rsid w:val="00805C93"/>
    <w:rsid w:val="0080616B"/>
    <w:rsid w:val="008132EE"/>
    <w:rsid w:val="0082329F"/>
    <w:rsid w:val="00824644"/>
    <w:rsid w:val="00824FE9"/>
    <w:rsid w:val="00825849"/>
    <w:rsid w:val="00846D1F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B3A73"/>
    <w:rsid w:val="008C25D0"/>
    <w:rsid w:val="008C40FC"/>
    <w:rsid w:val="008C49E3"/>
    <w:rsid w:val="008D0BFC"/>
    <w:rsid w:val="008D325A"/>
    <w:rsid w:val="008E0417"/>
    <w:rsid w:val="008E1AF8"/>
    <w:rsid w:val="008E28A3"/>
    <w:rsid w:val="008F491F"/>
    <w:rsid w:val="00920265"/>
    <w:rsid w:val="00926C17"/>
    <w:rsid w:val="009342AD"/>
    <w:rsid w:val="00947CF3"/>
    <w:rsid w:val="009524A1"/>
    <w:rsid w:val="00976681"/>
    <w:rsid w:val="00991AC2"/>
    <w:rsid w:val="009952F3"/>
    <w:rsid w:val="009B0F6E"/>
    <w:rsid w:val="009B2725"/>
    <w:rsid w:val="009C7EFE"/>
    <w:rsid w:val="009F2C1F"/>
    <w:rsid w:val="00A10568"/>
    <w:rsid w:val="00A122FC"/>
    <w:rsid w:val="00A12559"/>
    <w:rsid w:val="00A1517B"/>
    <w:rsid w:val="00A23A28"/>
    <w:rsid w:val="00A261F7"/>
    <w:rsid w:val="00A34206"/>
    <w:rsid w:val="00A40EC1"/>
    <w:rsid w:val="00A43D8C"/>
    <w:rsid w:val="00A61B8B"/>
    <w:rsid w:val="00A62ED5"/>
    <w:rsid w:val="00A723DA"/>
    <w:rsid w:val="00AA0476"/>
    <w:rsid w:val="00AA182E"/>
    <w:rsid w:val="00AA1FBF"/>
    <w:rsid w:val="00AA5064"/>
    <w:rsid w:val="00AA7136"/>
    <w:rsid w:val="00AB0F6E"/>
    <w:rsid w:val="00AB46CB"/>
    <w:rsid w:val="00AC1B2B"/>
    <w:rsid w:val="00AE4FF9"/>
    <w:rsid w:val="00AF06E9"/>
    <w:rsid w:val="00B011EB"/>
    <w:rsid w:val="00B1618B"/>
    <w:rsid w:val="00B223DA"/>
    <w:rsid w:val="00B272E8"/>
    <w:rsid w:val="00B436E9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E14FC"/>
    <w:rsid w:val="00C0353C"/>
    <w:rsid w:val="00C14055"/>
    <w:rsid w:val="00C21D62"/>
    <w:rsid w:val="00C2389A"/>
    <w:rsid w:val="00C31A94"/>
    <w:rsid w:val="00C439C8"/>
    <w:rsid w:val="00C477CA"/>
    <w:rsid w:val="00C532E5"/>
    <w:rsid w:val="00C63AC8"/>
    <w:rsid w:val="00C746BA"/>
    <w:rsid w:val="00C83C31"/>
    <w:rsid w:val="00CA03ED"/>
    <w:rsid w:val="00CA4A87"/>
    <w:rsid w:val="00CB0EBB"/>
    <w:rsid w:val="00CB525E"/>
    <w:rsid w:val="00CC5B0D"/>
    <w:rsid w:val="00CD0463"/>
    <w:rsid w:val="00CD5C8F"/>
    <w:rsid w:val="00CE29C2"/>
    <w:rsid w:val="00CF08A1"/>
    <w:rsid w:val="00D053D7"/>
    <w:rsid w:val="00D0565D"/>
    <w:rsid w:val="00D05F08"/>
    <w:rsid w:val="00D06220"/>
    <w:rsid w:val="00D311D4"/>
    <w:rsid w:val="00D36395"/>
    <w:rsid w:val="00D41549"/>
    <w:rsid w:val="00D43E5F"/>
    <w:rsid w:val="00D6481A"/>
    <w:rsid w:val="00D7110D"/>
    <w:rsid w:val="00D75637"/>
    <w:rsid w:val="00D842CD"/>
    <w:rsid w:val="00DA117D"/>
    <w:rsid w:val="00DA6F1A"/>
    <w:rsid w:val="00DA7B9A"/>
    <w:rsid w:val="00DC3B97"/>
    <w:rsid w:val="00E067E9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E01C3"/>
    <w:rsid w:val="00EE15D1"/>
    <w:rsid w:val="00EE7722"/>
    <w:rsid w:val="00EF0CD2"/>
    <w:rsid w:val="00F10702"/>
    <w:rsid w:val="00F538B0"/>
    <w:rsid w:val="00F727C0"/>
    <w:rsid w:val="00F92E4C"/>
    <w:rsid w:val="00F95CBB"/>
    <w:rsid w:val="00FA6F86"/>
    <w:rsid w:val="00FB5C8C"/>
    <w:rsid w:val="00FD2690"/>
    <w:rsid w:val="00FD78A4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AAD3-8928-4755-BB7F-833E6BF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Hönnerscheid, Andreas</cp:lastModifiedBy>
  <cp:revision>13</cp:revision>
  <cp:lastPrinted>2019-05-09T11:58:00Z</cp:lastPrinted>
  <dcterms:created xsi:type="dcterms:W3CDTF">2022-06-08T12:44:00Z</dcterms:created>
  <dcterms:modified xsi:type="dcterms:W3CDTF">2024-04-19T14:21:00Z</dcterms:modified>
</cp:coreProperties>
</file>