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7"/>
        <w:gridCol w:w="1134"/>
        <w:gridCol w:w="434"/>
        <w:gridCol w:w="2542"/>
        <w:gridCol w:w="629"/>
        <w:gridCol w:w="623"/>
        <w:gridCol w:w="744"/>
        <w:gridCol w:w="743"/>
        <w:gridCol w:w="6589"/>
      </w:tblGrid>
      <w:tr w:rsidR="00FD5500" w:rsidRPr="00075AEB" w:rsidTr="00B51EEC">
        <w:trPr>
          <w:cantSplit/>
          <w:trHeight w:val="283"/>
          <w:tblHeader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7F5099">
            <w:pPr>
              <w:rPr>
                <w:b/>
                <w:sz w:val="20"/>
              </w:rPr>
            </w:pPr>
            <w:r w:rsidRPr="00075AEB">
              <w:rPr>
                <w:b/>
                <w:sz w:val="20"/>
              </w:rPr>
              <w:t xml:space="preserve">Name des Begutachters: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5C14E2">
            <w:pPr>
              <w:rPr>
                <w:b/>
                <w:bCs/>
                <w:sz w:val="20"/>
              </w:rPr>
            </w:pPr>
            <w:r w:rsidRPr="00075AEB">
              <w:rPr>
                <w:b/>
                <w:bCs/>
                <w:sz w:val="20"/>
              </w:rPr>
              <w:t>Vorname: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FD5500">
            <w:pPr>
              <w:rPr>
                <w:b/>
                <w:bCs/>
                <w:sz w:val="20"/>
              </w:rPr>
            </w:pPr>
            <w:r w:rsidRPr="00075AEB">
              <w:rPr>
                <w:b/>
                <w:bCs/>
                <w:sz w:val="20"/>
              </w:rPr>
              <w:t>Titel:</w:t>
            </w:r>
          </w:p>
        </w:tc>
        <w:tc>
          <w:tcPr>
            <w:tcW w:w="73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5500" w:rsidRPr="00075AEB" w:rsidRDefault="00FD5500" w:rsidP="00882469">
            <w:pPr>
              <w:rPr>
                <w:sz w:val="18"/>
                <w:szCs w:val="18"/>
              </w:rPr>
            </w:pPr>
            <w:r w:rsidRPr="00075AEB">
              <w:rPr>
                <w:sz w:val="18"/>
                <w:szCs w:val="18"/>
                <w:u w:val="single"/>
              </w:rPr>
              <w:t>Erläuterung</w:t>
            </w:r>
            <w:r w:rsidRPr="00075AEB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2F7E17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2F7E17">
              <w:rPr>
                <w:sz w:val="18"/>
                <w:szCs w:val="18"/>
              </w:rPr>
              <w:t xml:space="preserve"> </w:t>
            </w:r>
            <w:r w:rsidRPr="00075AEB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FD5500" w:rsidRPr="00075AEB" w:rsidTr="00B51EEC">
        <w:trPr>
          <w:cantSplit/>
          <w:trHeight w:val="283"/>
          <w:tblHeader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5C14E2">
            <w:pPr>
              <w:rPr>
                <w:sz w:val="20"/>
              </w:rPr>
            </w:pPr>
            <w:r w:rsidRPr="00075AEB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075AEB">
              <w:rPr>
                <w:sz w:val="20"/>
                <w:lang w:val="en-GB"/>
              </w:rPr>
              <w:instrText xml:space="preserve"> FORMTEXT </w:instrText>
            </w:r>
            <w:r w:rsidRPr="00075AEB">
              <w:rPr>
                <w:sz w:val="20"/>
                <w:lang w:val="en-GB"/>
              </w:rPr>
            </w:r>
            <w:r w:rsidRPr="00075AEB">
              <w:rPr>
                <w:sz w:val="20"/>
                <w:lang w:val="en-GB"/>
              </w:rPr>
              <w:fldChar w:fldCharType="separate"/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5C14E2">
            <w:pPr>
              <w:rPr>
                <w:sz w:val="20"/>
                <w:lang w:val="en-GB"/>
              </w:rPr>
            </w:pPr>
            <w:r w:rsidRPr="00075AEB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075AEB">
              <w:rPr>
                <w:sz w:val="20"/>
                <w:lang w:val="en-GB"/>
              </w:rPr>
              <w:instrText xml:space="preserve"> FORMTEXT </w:instrText>
            </w:r>
            <w:r w:rsidRPr="00075AEB">
              <w:rPr>
                <w:sz w:val="20"/>
                <w:lang w:val="en-GB"/>
              </w:rPr>
            </w:r>
            <w:r w:rsidRPr="00075AEB">
              <w:rPr>
                <w:sz w:val="20"/>
                <w:lang w:val="en-GB"/>
              </w:rPr>
              <w:fldChar w:fldCharType="separate"/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500" w:rsidRPr="00075AEB" w:rsidRDefault="00FD5500" w:rsidP="00FD5500">
            <w:pPr>
              <w:rPr>
                <w:b/>
                <w:bCs/>
                <w:sz w:val="20"/>
              </w:rPr>
            </w:pPr>
            <w:r w:rsidRPr="00075AEB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075AEB">
              <w:rPr>
                <w:sz w:val="20"/>
                <w:lang w:val="en-GB"/>
              </w:rPr>
              <w:instrText xml:space="preserve"> FORMTEXT </w:instrText>
            </w:r>
            <w:r w:rsidRPr="00075AEB">
              <w:rPr>
                <w:sz w:val="20"/>
                <w:lang w:val="en-GB"/>
              </w:rPr>
            </w:r>
            <w:r w:rsidRPr="00075AEB">
              <w:rPr>
                <w:sz w:val="20"/>
                <w:lang w:val="en-GB"/>
              </w:rPr>
              <w:fldChar w:fldCharType="separate"/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noProof/>
                <w:sz w:val="20"/>
                <w:lang w:val="en-GB"/>
              </w:rPr>
              <w:t> </w:t>
            </w:r>
            <w:r w:rsidRPr="00075AE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33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5500" w:rsidRPr="00075AEB" w:rsidRDefault="00FD5500" w:rsidP="005C14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D5500" w:rsidRPr="00075AEB" w:rsidTr="00AD747C">
        <w:trPr>
          <w:cantSplit/>
          <w:tblHeader/>
        </w:trPr>
        <w:tc>
          <w:tcPr>
            <w:tcW w:w="14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500" w:rsidRPr="00075AEB" w:rsidRDefault="00FD5500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FD5500" w:rsidRPr="00075AEB" w:rsidTr="00FD5500">
        <w:trPr>
          <w:cantSplit/>
          <w:tblHeader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Zutreffende Akkred.-</w:t>
            </w:r>
          </w:p>
          <w:p w:rsidR="00FD5500" w:rsidRPr="00075AEB" w:rsidRDefault="00FD5500" w:rsidP="008824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075AEB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FD5500" w:rsidRDefault="00FD5500" w:rsidP="00FD5500">
            <w:pPr>
              <w:ind w:left="1176" w:hanging="1176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075AE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075AEB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</w:tc>
      </w:tr>
      <w:tr w:rsidR="00FD5500" w:rsidRPr="00075AEB" w:rsidTr="00FD5500">
        <w:trPr>
          <w:cantSplit/>
          <w:tblHeader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5500" w:rsidRPr="00075AEB" w:rsidRDefault="00FD5500" w:rsidP="00882469">
            <w:pPr>
              <w:jc w:val="center"/>
              <w:rPr>
                <w:rFonts w:cs="Times New Roman"/>
                <w:b/>
                <w:sz w:val="20"/>
              </w:rPr>
            </w:pPr>
            <w:r w:rsidRPr="00075AE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Default="00FD5500" w:rsidP="00D842C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500" w:rsidRPr="00075AEB" w:rsidRDefault="00FD5500" w:rsidP="00D842C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5500" w:rsidRPr="00075AEB" w:rsidRDefault="00FD5500" w:rsidP="00D842CD">
            <w:pPr>
              <w:jc w:val="center"/>
              <w:rPr>
                <w:rFonts w:cs="Times New Roman"/>
                <w:b/>
                <w:sz w:val="20"/>
              </w:rPr>
            </w:pPr>
            <w:r w:rsidRPr="00075AE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5500" w:rsidRPr="00075AEB" w:rsidRDefault="00FD5500" w:rsidP="00882469">
            <w:pPr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color w:val="FF0000"/>
                <w:sz w:val="20"/>
              </w:rPr>
              <w:t>Bitte Matrizes</w:t>
            </w:r>
            <w:r w:rsidRPr="00075AEB">
              <w:rPr>
                <w:rStyle w:val="Endnotenzeichen"/>
                <w:rFonts w:asciiTheme="minorHAnsi" w:hAnsiTheme="minorHAnsi"/>
                <w:b/>
                <w:color w:val="FF0000"/>
                <w:sz w:val="20"/>
              </w:rPr>
              <w:endnoteReference w:id="2"/>
            </w:r>
            <w:r w:rsidRPr="00075AEB">
              <w:rPr>
                <w:rFonts w:asciiTheme="minorHAnsi" w:hAnsiTheme="minorHAnsi"/>
                <w:b/>
                <w:color w:val="FF0000"/>
                <w:sz w:val="20"/>
              </w:rPr>
              <w:t xml:space="preserve"> angeben</w:t>
            </w:r>
          </w:p>
        </w:tc>
      </w:tr>
      <w:tr w:rsidR="007B294A" w:rsidRPr="00075AEB" w:rsidTr="00FD5500">
        <w:trPr>
          <w:cantSplit/>
        </w:trPr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b/>
                <w:sz w:val="20"/>
                <w:lang w:val="en-GB"/>
              </w:rPr>
              <w:t>Abfall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Abfall, gesetzlich nicht geregelter Bereich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Biologische Verfahren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Chromatographie - Flüssigchromatographie mit Massenspektrometrie-Kopplung (LC-MS)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51EEC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Chromatographie </w:t>
            </w:r>
            <w:r w:rsidR="00B51EEC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Flüssigchromatographie mit Tandem-Massenspektrometrie-Kopplung</w:t>
            </w:r>
            <w:r w:rsidR="005C14E2">
              <w:rPr>
                <w:rFonts w:cs="Calibri"/>
                <w:color w:val="000000"/>
                <w:sz w:val="20"/>
              </w:rPr>
              <w:t xml:space="preserve"> </w:t>
            </w:r>
            <w:r w:rsidRPr="00075AEB">
              <w:rPr>
                <w:rFonts w:cs="Calibri"/>
                <w:color w:val="000000"/>
                <w:sz w:val="20"/>
              </w:rPr>
              <w:t>(LC-MS/MS)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Chromatographie - Gaschromatographie (GC)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Chromatographie - Gaschromatographie-Massenspektrometrie (GC-MS)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51EEC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Chromatographie </w:t>
            </w:r>
            <w:r w:rsidR="00B51EEC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Hochleistungsflüssigkeits</w:t>
            </w:r>
            <w:r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075AEB">
              <w:rPr>
                <w:rFonts w:cs="Calibri"/>
                <w:color w:val="000000"/>
                <w:sz w:val="20"/>
              </w:rPr>
              <w:t>chromatographie (HPLC)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Chromatographie - Ionenchromatographie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Dioxine/Furane (GC-HRMS)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Dioxine/Furane (GC-LRMS)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Elektrochemische Verfahren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Fotometrie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Gravimetrie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Maßanalyse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Ökotoxizitätstest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Physikalische und physikalisch-chemische Parameter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Probenvorbehandlung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Radiologische Verfahren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Sensorik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Spektrometrie </w:t>
            </w:r>
            <w:r w:rsidR="00FD5500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Atomabsorptions</w:t>
            </w:r>
            <w:r w:rsidR="005C14E2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>spektrometrie</w:t>
            </w:r>
            <w:r w:rsidR="005C14E2">
              <w:rPr>
                <w:rFonts w:cs="Calibri"/>
                <w:color w:val="000000"/>
                <w:sz w:val="20"/>
              </w:rPr>
              <w:t xml:space="preserve"> </w:t>
            </w:r>
            <w:r w:rsidRPr="00075AEB">
              <w:rPr>
                <w:rFonts w:cs="Calibri"/>
                <w:color w:val="000000"/>
                <w:sz w:val="20"/>
              </w:rPr>
              <w:t>(AAS)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Spektrometrie </w:t>
            </w:r>
            <w:r w:rsidR="00FD5500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Atomemissions</w:t>
            </w:r>
            <w:r w:rsidR="005C14E2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>spektrometrie mit induktiv gekoppeltem Plasma (ICP-OES)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Spektrometrie </w:t>
            </w:r>
            <w:r w:rsidR="00FD5500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Massen</w:t>
            </w:r>
            <w:r w:rsidR="005C14E2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>spektrometrie (MS)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Spektrometrie </w:t>
            </w:r>
            <w:r w:rsidR="00FD5500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 xml:space="preserve"> Massen</w:t>
            </w:r>
            <w:r w:rsidR="005C14E2">
              <w:rPr>
                <w:rFonts w:cs="Calibri"/>
                <w:color w:val="000000"/>
                <w:sz w:val="20"/>
              </w:rPr>
              <w:t>-</w:t>
            </w:r>
            <w:r w:rsidRPr="00075AEB">
              <w:rPr>
                <w:rFonts w:cs="Calibri"/>
                <w:color w:val="000000"/>
                <w:sz w:val="20"/>
              </w:rPr>
              <w:t>spektrometrie mit induktiv gekoppeltem Plasma (ICP-MS)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Spezialverfahren (Extraliste)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Summarische Wirkungs- u</w:t>
            </w:r>
            <w:r w:rsidR="00FD5500">
              <w:rPr>
                <w:rFonts w:cs="Calibri"/>
                <w:color w:val="000000"/>
                <w:sz w:val="20"/>
              </w:rPr>
              <w:t>nd</w:t>
            </w:r>
            <w:r w:rsidRPr="00075AEB">
              <w:rPr>
                <w:rFonts w:cs="Calibri"/>
                <w:color w:val="000000"/>
                <w:sz w:val="20"/>
              </w:rPr>
              <w:t xml:space="preserve"> Stoffkenngrößen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011EB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 xml:space="preserve">Fachmodul Abfall </w:t>
            </w:r>
          </w:p>
          <w:p w:rsidR="007B294A" w:rsidRPr="00075AEB" w:rsidRDefault="005C14E2" w:rsidP="00502850">
            <w:pPr>
              <w:keepNext/>
              <w:rPr>
                <w:rFonts w:asciiTheme="minorHAnsi" w:hAnsi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</w:t>
            </w:r>
            <w:r w:rsidR="007B294A" w:rsidRPr="00075AEB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ei Beantragung dieses Sachgebiets bitte die letzten Seiten ausfüllen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1.2 Klärschlamm - Schwermetallen und Chrom VI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D842C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D842C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1.3 Klärschlamm - AOX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1.4 Klärschlamm - physikalische Parameter, Nährstoffe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D842C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1.5 Klärschlamm - PCB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1.6 Klärschlamm - PCDD/PCDF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D842CD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1.7 Klärschlamm - Benzo(a)pyren (B(a)P)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1.8 Klärschlamm - PFOA/PFOS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strike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2.2 Boden - Schwermetalle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2.3 Boden - physikalische Parameter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2.4 Boden - PCB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075AEB">
            <w:pPr>
              <w:rPr>
                <w:rFonts w:cs="Calibri"/>
                <w:color w:val="000000"/>
                <w:sz w:val="20"/>
                <w:lang w:val="en-GB"/>
              </w:rPr>
            </w:pPr>
            <w:r w:rsidRPr="003F7A10">
              <w:rPr>
                <w:rFonts w:cs="Calibri"/>
                <w:color w:val="000000"/>
                <w:sz w:val="20"/>
                <w:lang w:val="en-GB"/>
              </w:rPr>
              <w:t>UB 2.5 Boden - Benzo(a)pyren (B(a)P)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3.2 Bioabfall - Schwermetalle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3.3 Bioabfall - physikalische Parameter, Fremdstoffe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3.4 Bioabfall – Prozessprüfung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3.5 Bioabfall - Prüfung der hygienisierten Bioabfälle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4.2 Altöl - PCB, Halogen nach AltölV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5.2 Abfall zur Ablagerung -</w:t>
            </w:r>
            <w:r w:rsidRPr="00075AEB">
              <w:rPr>
                <w:rFonts w:cs="Calibri"/>
                <w:strike/>
                <w:color w:val="000000"/>
                <w:sz w:val="20"/>
              </w:rPr>
              <w:t xml:space="preserve"> </w:t>
            </w:r>
            <w:r w:rsidRPr="00075AEB">
              <w:rPr>
                <w:rFonts w:cs="Calibri"/>
                <w:color w:val="000000"/>
                <w:sz w:val="20"/>
              </w:rPr>
              <w:t>Bestimmung der Gesamtgehalte im Feststoff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strike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5.3 Abfall zur Ablagerung - Bestimmung der Gehalte im Eluat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UB 5.4 Abfall zur Ablagerung - </w:t>
            </w:r>
            <w:r w:rsidR="00FD5500">
              <w:rPr>
                <w:rFonts w:cs="Calibri"/>
                <w:color w:val="000000"/>
                <w:sz w:val="20"/>
              </w:rPr>
              <w:t>B</w:t>
            </w:r>
            <w:r w:rsidRPr="00075AEB">
              <w:rPr>
                <w:rFonts w:cs="Calibri"/>
                <w:color w:val="000000"/>
                <w:sz w:val="20"/>
              </w:rPr>
              <w:t>iologische Abbaubarkeit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6.2 Altholz - Schwermetalle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6.3: Altholz - Halogen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 xml:space="preserve">UB 6.4: Altholz - </w:t>
            </w:r>
            <w:r w:rsidR="00FD5500">
              <w:rPr>
                <w:rFonts w:cs="Calibri"/>
                <w:color w:val="000000"/>
                <w:sz w:val="20"/>
              </w:rPr>
              <w:t>O</w:t>
            </w:r>
            <w:r w:rsidRPr="00075AEB">
              <w:rPr>
                <w:rFonts w:cs="Calibri"/>
                <w:color w:val="000000"/>
                <w:sz w:val="20"/>
              </w:rPr>
              <w:t>rganische Parameter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cs="Times New Roman"/>
                <w:b/>
                <w:sz w:val="20"/>
              </w:rPr>
              <w:t>Probenahme Umweltbereich, Abfall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7B294A">
            <w:pPr>
              <w:keepNext/>
              <w:tabs>
                <w:tab w:val="left" w:pos="652"/>
              </w:tabs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asciiTheme="minorHAnsi" w:hAnsiTheme="minorHAnsi"/>
                <w:b/>
                <w:sz w:val="20"/>
              </w:rPr>
              <w:t>Fachmodul Abfall</w:t>
            </w:r>
          </w:p>
          <w:p w:rsidR="007B294A" w:rsidRPr="00075AEB" w:rsidRDefault="007B294A" w:rsidP="0050285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75AEB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letzten Seiten ausfüllen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D5500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1.1 Klärschlamm – Probe</w:t>
            </w:r>
            <w:r w:rsidR="00FD5500">
              <w:rPr>
                <w:rFonts w:cs="Calibri"/>
                <w:color w:val="000000"/>
                <w:sz w:val="20"/>
              </w:rPr>
              <w:t>-</w:t>
            </w:r>
            <w:r w:rsidR="00FD5500">
              <w:rPr>
                <w:rFonts w:cs="Calibri"/>
                <w:color w:val="000000"/>
                <w:sz w:val="20"/>
              </w:rPr>
              <w:br/>
            </w:r>
            <w:r w:rsidRPr="00075AEB">
              <w:rPr>
                <w:rFonts w:cs="Calibri"/>
                <w:color w:val="000000"/>
                <w:sz w:val="20"/>
              </w:rPr>
              <w:t>nahme und Probenvorbereitung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2.1 Boden - Probenahme</w:t>
            </w:r>
            <w:r w:rsidRPr="00075AEB">
              <w:t xml:space="preserve"> </w:t>
            </w:r>
            <w:r w:rsidRPr="00075AEB">
              <w:rPr>
                <w:rFonts w:cs="Calibri"/>
                <w:color w:val="000000"/>
                <w:sz w:val="20"/>
              </w:rPr>
              <w:t>und Probenvorbereitung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3.1 Bioabfall - Probenahme und Probenvorbereitung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4.1 Altöl - Probenahme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5.1 Abfall zur Ablagerung - Probenahme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075AEB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UB 6.1 Altholz - Probenahme, Probenaufbereitung und Probenvorbereitung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3F7A10" w:rsidRDefault="007B294A" w:rsidP="00FB491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5C14E2" w:rsidRDefault="007B294A" w:rsidP="0083279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83279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83279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  <w:r w:rsidRPr="00075AEB">
              <w:rPr>
                <w:rFonts w:cs="Calibri"/>
                <w:b/>
                <w:color w:val="000000"/>
                <w:sz w:val="20"/>
              </w:rPr>
              <w:t>Probenahme Abfall, gesetzlich nicht geregelt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50285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Abfall zur Ablagerung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Altholz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Altöl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B51EEC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Bioabfall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Klärschlamm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075AEB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Sonstige Abfälle (Extraliste)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B91EDC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075AEB">
              <w:rPr>
                <w:rFonts w:cs="Calibri"/>
                <w:color w:val="000000"/>
                <w:sz w:val="20"/>
              </w:rPr>
              <w:t>Vor-Ort- u. Feldparameter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B91EDC" w:rsidRDefault="007B294A" w:rsidP="00FB4911">
            <w:pPr>
              <w:rPr>
                <w:rFonts w:asciiTheme="minorHAnsi" w:hAnsiTheme="minorHAnsi"/>
                <w:sz w:val="20"/>
              </w:rPr>
            </w:pPr>
            <w:r w:rsidRPr="00075A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5A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75AEB">
              <w:rPr>
                <w:rFonts w:asciiTheme="minorHAnsi" w:hAnsiTheme="minorHAnsi"/>
                <w:sz w:val="20"/>
              </w:rPr>
            </w:r>
            <w:r w:rsidRPr="00075AEB">
              <w:rPr>
                <w:rFonts w:asciiTheme="minorHAnsi" w:hAnsiTheme="minorHAnsi"/>
                <w:sz w:val="20"/>
              </w:rPr>
              <w:fldChar w:fldCharType="separate"/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noProof/>
                <w:sz w:val="20"/>
              </w:rPr>
              <w:t> </w:t>
            </w:r>
            <w:r w:rsidRPr="00075A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B294A" w:rsidRPr="00B91EDC" w:rsidTr="00FD5500">
        <w:trPr>
          <w:cantSplit/>
        </w:trPr>
        <w:tc>
          <w:tcPr>
            <w:tcW w:w="79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94A" w:rsidRPr="00075AEB" w:rsidRDefault="007B294A" w:rsidP="00B51EE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7B294A">
              <w:rPr>
                <w:rFonts w:cs="Calibri"/>
                <w:b/>
                <w:color w:val="000000"/>
                <w:sz w:val="20"/>
              </w:rPr>
              <w:t>Recycling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51EE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B91EDC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94A" w:rsidRDefault="007B294A" w:rsidP="00B51EEC">
            <w:pPr>
              <w:keepNext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94A" w:rsidRPr="00075AEB" w:rsidRDefault="007B294A" w:rsidP="00B51EE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7B294A">
              <w:rPr>
                <w:rFonts w:cs="Calibri"/>
                <w:b/>
                <w:color w:val="000000"/>
                <w:sz w:val="20"/>
              </w:rPr>
              <w:t>Kunststoffrecycling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B51EE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B294A" w:rsidRPr="00B91EDC" w:rsidTr="00FD550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Default="007B294A" w:rsidP="00FB491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7B294A" w:rsidRDefault="007B294A" w:rsidP="00FB4911">
            <w:pPr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7B294A" w:rsidRDefault="007B294A" w:rsidP="00FB4911">
            <w:pPr>
              <w:rPr>
                <w:rFonts w:cs="Calibri"/>
                <w:color w:val="000000"/>
                <w:sz w:val="20"/>
              </w:rPr>
            </w:pPr>
            <w:r w:rsidRPr="007B294A">
              <w:rPr>
                <w:rFonts w:cs="Calibri"/>
                <w:color w:val="000000"/>
                <w:sz w:val="20"/>
              </w:rPr>
              <w:t>RecyClass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51EEC">
              <w:rPr>
                <w:rFonts w:asciiTheme="minorHAnsi" w:hAnsiTheme="minorHAnsi"/>
                <w:sz w:val="20"/>
                <w:lang w:val="en-GB"/>
              </w:rPr>
            </w:r>
            <w:r w:rsidR="00B51EE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75A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4A" w:rsidRPr="00075AEB" w:rsidRDefault="007B294A" w:rsidP="00FB491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968B9" w:rsidRPr="00B91EDC" w:rsidRDefault="007968B9" w:rsidP="00E458A1">
      <w:pPr>
        <w:rPr>
          <w:rFonts w:asciiTheme="minorHAnsi" w:hAnsiTheme="minorHAnsi"/>
          <w:sz w:val="20"/>
        </w:rPr>
      </w:pPr>
    </w:p>
    <w:bookmarkEnd w:id="0"/>
    <w:p w:rsidR="00051454" w:rsidRPr="005C14E2" w:rsidRDefault="00051454">
      <w:pPr>
        <w:rPr>
          <w:iCs/>
          <w:sz w:val="20"/>
        </w:rPr>
      </w:pPr>
    </w:p>
    <w:p w:rsidR="006E21B6" w:rsidRPr="00810C0C" w:rsidRDefault="006E21B6" w:rsidP="00B51EEC">
      <w:pPr>
        <w:pageBreakBefore/>
        <w:autoSpaceDE w:val="0"/>
        <w:autoSpaceDN w:val="0"/>
        <w:adjustRightInd w:val="0"/>
        <w:spacing w:before="240" w:after="120"/>
        <w:rPr>
          <w:rFonts w:eastAsia="Calibri"/>
          <w:b/>
          <w:color w:val="FF0000"/>
          <w:sz w:val="28"/>
          <w:szCs w:val="28"/>
          <w:lang w:eastAsia="en-US"/>
        </w:rPr>
      </w:pPr>
      <w:r w:rsidRPr="00810C0C">
        <w:rPr>
          <w:rFonts w:eastAsia="Calibri"/>
          <w:b/>
          <w:color w:val="FF0000"/>
          <w:sz w:val="28"/>
          <w:szCs w:val="28"/>
          <w:lang w:eastAsia="en-US"/>
        </w:rPr>
        <w:lastRenderedPageBreak/>
        <w:t xml:space="preserve">Erklärung des Antragstellers zu den Anforderungen an Fachbegutachter im Bereich der Fachmoduls </w:t>
      </w:r>
      <w:r>
        <w:rPr>
          <w:rFonts w:eastAsia="Calibri"/>
          <w:b/>
          <w:color w:val="FF0000"/>
          <w:sz w:val="28"/>
          <w:szCs w:val="28"/>
          <w:lang w:eastAsia="en-US"/>
        </w:rPr>
        <w:t>Abfall</w:t>
      </w:r>
    </w:p>
    <w:p w:rsidR="006E21B6" w:rsidRPr="005E6AF6" w:rsidRDefault="006E21B6" w:rsidP="006E21B6">
      <w:pPr>
        <w:autoSpaceDE w:val="0"/>
        <w:autoSpaceDN w:val="0"/>
        <w:adjustRightInd w:val="0"/>
        <w:spacing w:after="60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 xml:space="preserve">Ich verfüge als Fachbegutachter mindestens über die im jeweiligen Fachmodul geforderte Qualifikation für die Laborleitung bzw. für den </w:t>
      </w:r>
      <w:r>
        <w:rPr>
          <w:rFonts w:eastAsia="Calibri"/>
          <w:b/>
          <w:szCs w:val="22"/>
          <w:lang w:eastAsia="en-US"/>
        </w:rPr>
        <w:t>fachlich Verantwortlichen</w:t>
      </w:r>
      <w:r w:rsidRPr="005E6AF6">
        <w:rPr>
          <w:rFonts w:eastAsia="Calibri"/>
          <w:b/>
          <w:szCs w:val="22"/>
          <w:lang w:eastAsia="en-US"/>
        </w:rPr>
        <w:t xml:space="preserve"> im Bereich des Fachmoduls</w:t>
      </w:r>
      <w:r>
        <w:rPr>
          <w:rFonts w:eastAsia="Calibri"/>
          <w:b/>
          <w:szCs w:val="22"/>
          <w:lang w:eastAsia="en-US"/>
        </w:rPr>
        <w:t xml:space="preserve"> Abfall.</w:t>
      </w:r>
    </w:p>
    <w:p w:rsidR="006E21B6" w:rsidRPr="005E6AF6" w:rsidRDefault="006E21B6" w:rsidP="00B51EEC">
      <w:pPr>
        <w:autoSpaceDE w:val="0"/>
        <w:autoSpaceDN w:val="0"/>
        <w:adjustRightInd w:val="0"/>
        <w:spacing w:before="240" w:after="120" w:line="288" w:lineRule="auto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>Ich erfülle die "Regeln zum Begutachterwesen" der DAkkS - 71 SD 0 008 - und darüber hinaus nachfolgende spezielle Anforderungen wie:</w:t>
      </w:r>
    </w:p>
    <w:p w:rsidR="006E21B6" w:rsidRPr="005E6AF6" w:rsidRDefault="006E21B6" w:rsidP="00502850">
      <w:pPr>
        <w:tabs>
          <w:tab w:val="left" w:pos="426"/>
        </w:tabs>
        <w:autoSpaceDE w:val="0"/>
        <w:autoSpaceDN w:val="0"/>
        <w:adjustRightInd w:val="0"/>
        <w:spacing w:after="80" w:line="288" w:lineRule="auto"/>
        <w:ind w:left="426" w:hanging="426"/>
        <w:rPr>
          <w:szCs w:val="22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5C14E2">
        <w:rPr>
          <w:rFonts w:eastAsia="Calibri"/>
          <w:szCs w:val="22"/>
          <w:lang w:eastAsia="en-US"/>
        </w:rPr>
        <w:t>M</w:t>
      </w:r>
      <w:r w:rsidRPr="005E6AF6">
        <w:rPr>
          <w:szCs w:val="22"/>
        </w:rPr>
        <w:t>indestens 4-jährige zusammenhängende praktische Berufserfahrung</w:t>
      </w:r>
      <w:r>
        <w:rPr>
          <w:szCs w:val="22"/>
        </w:rPr>
        <w:t xml:space="preserve"> </w:t>
      </w:r>
      <w:r w:rsidRPr="005E6AF6">
        <w:rPr>
          <w:szCs w:val="22"/>
        </w:rPr>
        <w:t>(hauptberufliche Tätigkeit (≥ 19 Wochenstunden)) im Rahmen der Konformitätsbewertung in einem Labor oder einer Messstelle in dem künftigen Einsatzgebiet des Fachbegutachters.</w:t>
      </w:r>
      <w:r w:rsidRPr="005E6AF6">
        <w:rPr>
          <w:szCs w:val="22"/>
        </w:rPr>
        <w:br/>
        <w:t>Diese Tätigkeit darf im Zeitraum der Benennung bzw. der Tätigkeit als Fachbegutachter nicht länger als 4 Jahre zurückliegen.</w:t>
      </w:r>
    </w:p>
    <w:p w:rsidR="006E21B6" w:rsidRDefault="006E21B6" w:rsidP="00502850">
      <w:pPr>
        <w:autoSpaceDE w:val="0"/>
        <w:autoSpaceDN w:val="0"/>
        <w:adjustRightInd w:val="0"/>
        <w:spacing w:after="8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Erfahrungen und Kenntnisse -dem jeweiligen Begutachtungsauftrag angemessen- zur Bewertung von normgerechten Qualitätsmanagementsystemen</w:t>
      </w:r>
    </w:p>
    <w:p w:rsidR="006E21B6" w:rsidRDefault="006E21B6" w:rsidP="00502850">
      <w:pPr>
        <w:autoSpaceDE w:val="0"/>
        <w:autoSpaceDN w:val="0"/>
        <w:adjustRightInd w:val="0"/>
        <w:spacing w:after="80" w:line="288" w:lineRule="auto"/>
        <w:ind w:left="426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</w:r>
      <w:r w:rsidR="005C14E2">
        <w:rPr>
          <w:rFonts w:eastAsia="Calibri"/>
          <w:szCs w:val="22"/>
          <w:lang w:eastAsia="en-US"/>
        </w:rPr>
        <w:t>D</w:t>
      </w:r>
      <w:r w:rsidRPr="00183763">
        <w:rPr>
          <w:rFonts w:eastAsia="Calibri"/>
          <w:szCs w:val="22"/>
          <w:lang w:eastAsia="en-US"/>
        </w:rPr>
        <w:t>etaillierte Kenntnisse der einschlägigen Normen zur Probenahme und deren praktischen Anwendung</w:t>
      </w:r>
    </w:p>
    <w:p w:rsidR="006E21B6" w:rsidRPr="00F63D3E" w:rsidRDefault="006E21B6" w:rsidP="00502850">
      <w:pPr>
        <w:pStyle w:val="Default"/>
        <w:spacing w:after="80"/>
        <w:ind w:left="426" w:hanging="426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5C14E2" w:rsidRPr="00183763">
        <w:rPr>
          <w:rFonts w:eastAsia="Calibri"/>
          <w:szCs w:val="22"/>
          <w:lang w:eastAsia="en-US"/>
        </w:rPr>
        <w:tab/>
      </w:r>
      <w:r w:rsidR="005C14E2" w:rsidRPr="00B51EEC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der Anhänge des jeweiligen Fachmoduls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bookmarkStart w:id="1" w:name="_GoBack"/>
    <w:p w:rsidR="006E21B6" w:rsidRPr="00183763" w:rsidRDefault="006E21B6" w:rsidP="00502850">
      <w:pPr>
        <w:autoSpaceDE w:val="0"/>
        <w:autoSpaceDN w:val="0"/>
        <w:adjustRightInd w:val="0"/>
        <w:spacing w:after="8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bookmarkEnd w:id="1"/>
      <w:r w:rsidRPr="00183763">
        <w:rPr>
          <w:rFonts w:eastAsia="Calibri"/>
          <w:szCs w:val="22"/>
          <w:lang w:eastAsia="en-US"/>
        </w:rPr>
        <w:tab/>
        <w:t>Kenntnisse in EDV-gestützten Laborinformationssystemen</w:t>
      </w:r>
    </w:p>
    <w:p w:rsidR="006E21B6" w:rsidRDefault="006E21B6" w:rsidP="00502850">
      <w:pPr>
        <w:autoSpaceDE w:val="0"/>
        <w:autoSpaceDN w:val="0"/>
        <w:adjustRightInd w:val="0"/>
        <w:spacing w:after="8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  <w:t>Teilnahme an DAkkS-Schulungen</w:t>
      </w:r>
    </w:p>
    <w:p w:rsidR="006E21B6" w:rsidRPr="005E6AF6" w:rsidRDefault="006E21B6" w:rsidP="00502850">
      <w:pPr>
        <w:autoSpaceDE w:val="0"/>
        <w:autoSpaceDN w:val="0"/>
        <w:adjustRightInd w:val="0"/>
        <w:spacing w:after="80" w:line="288" w:lineRule="auto"/>
        <w:ind w:left="425" w:hanging="425"/>
        <w:rPr>
          <w:rFonts w:eastAsia="Calibri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5C14E2">
        <w:rPr>
          <w:rFonts w:eastAsia="Calibri"/>
          <w:szCs w:val="22"/>
          <w:lang w:eastAsia="en-US"/>
        </w:rPr>
        <w:t>D</w:t>
      </w:r>
      <w:r w:rsidRPr="005E6AF6">
        <w:rPr>
          <w:rFonts w:eastAsia="Calibri"/>
          <w:szCs w:val="22"/>
          <w:lang w:eastAsia="en-US"/>
        </w:rPr>
        <w:t>etaillierte Kenntnisse der aktuellen Anforderungen aus dem Fachmodul entsprechend den Einsatzgebieten sowie der DAkkS-Regel 71 SD 4 030</w:t>
      </w:r>
    </w:p>
    <w:p w:rsidR="006E21B6" w:rsidRPr="00183763" w:rsidRDefault="006E21B6" w:rsidP="00502850">
      <w:pPr>
        <w:autoSpaceDE w:val="0"/>
        <w:autoSpaceDN w:val="0"/>
        <w:adjustRightInd w:val="0"/>
        <w:spacing w:after="8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</w:r>
      <w:r w:rsidR="005C14E2">
        <w:rPr>
          <w:rFonts w:eastAsia="Calibri"/>
          <w:szCs w:val="22"/>
          <w:lang w:eastAsia="en-US"/>
        </w:rPr>
        <w:t>D</w:t>
      </w:r>
      <w:r w:rsidRPr="00183763">
        <w:rPr>
          <w:rFonts w:eastAsia="Calibri"/>
          <w:szCs w:val="22"/>
          <w:lang w:eastAsia="en-US"/>
        </w:rPr>
        <w:t>etaillierte Kenntnisse der LAWA-AQS-Merkblätter</w:t>
      </w:r>
    </w:p>
    <w:p w:rsidR="006E21B6" w:rsidRPr="00183763" w:rsidRDefault="006E21B6" w:rsidP="00502850">
      <w:pPr>
        <w:autoSpaceDE w:val="0"/>
        <w:autoSpaceDN w:val="0"/>
        <w:adjustRightInd w:val="0"/>
        <w:spacing w:after="80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B51EEC">
        <w:rPr>
          <w:rFonts w:eastAsia="Calibri"/>
          <w:szCs w:val="22"/>
          <w:lang w:eastAsia="en-US"/>
        </w:rPr>
      </w:r>
      <w:r w:rsidR="00B51EEC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des Abwasserabgabengesetzes, der Abwasserverordnung sowie der einschlägigen länderspezifischen Gesetze und Verordnungen</w:t>
      </w:r>
    </w:p>
    <w:p w:rsidR="006E21B6" w:rsidRPr="00F63D3E" w:rsidRDefault="006E21B6" w:rsidP="00B51EEC">
      <w:pPr>
        <w:pStyle w:val="Default"/>
        <w:spacing w:before="240"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83763">
        <w:rPr>
          <w:rFonts w:asciiTheme="minorHAnsi" w:eastAsia="Calibri" w:hAnsiTheme="minorHAnsi"/>
          <w:b/>
          <w:sz w:val="22"/>
          <w:szCs w:val="22"/>
          <w:lang w:eastAsia="en-US"/>
        </w:rPr>
        <w:t>Sonstige Anmerkungen, wenn Abweichungen des Antragstellers von den Anforderungen vorliegen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F63D3E">
        <w:rPr>
          <w:rFonts w:asciiTheme="minorHAnsi" w:eastAsia="Calibri" w:hAnsiTheme="minorHAnsi"/>
          <w:b/>
          <w:sz w:val="22"/>
          <w:szCs w:val="22"/>
          <w:lang w:eastAsia="en-US"/>
        </w:rPr>
        <w:t>(z. B. Ergänzungen zur Fachkompetenz):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B51EEC">
            <w:pPr>
              <w:autoSpaceDE w:val="0"/>
              <w:autoSpaceDN w:val="0"/>
              <w:adjustRightInd w:val="0"/>
              <w:spacing w:before="40" w:after="20"/>
              <w:ind w:left="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B51EEC">
            <w:pPr>
              <w:autoSpaceDE w:val="0"/>
              <w:autoSpaceDN w:val="0"/>
              <w:adjustRightInd w:val="0"/>
              <w:spacing w:before="40" w:after="20"/>
              <w:ind w:left="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B51EEC">
            <w:pPr>
              <w:autoSpaceDE w:val="0"/>
              <w:autoSpaceDN w:val="0"/>
              <w:adjustRightInd w:val="0"/>
              <w:spacing w:before="40" w:after="20"/>
              <w:ind w:left="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B51EEC">
            <w:pPr>
              <w:autoSpaceDE w:val="0"/>
              <w:autoSpaceDN w:val="0"/>
              <w:adjustRightInd w:val="0"/>
              <w:spacing w:before="40" w:after="20"/>
              <w:ind w:left="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B51EEC">
            <w:pPr>
              <w:autoSpaceDE w:val="0"/>
              <w:autoSpaceDN w:val="0"/>
              <w:adjustRightInd w:val="0"/>
              <w:spacing w:before="40" w:after="20"/>
              <w:ind w:left="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</w:tbl>
    <w:p w:rsidR="00051454" w:rsidRPr="00051454" w:rsidRDefault="00051454" w:rsidP="00B51EEC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FD5500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FD5500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5C14E2">
              <w:rPr>
                <w:rStyle w:val="Endnotenzeichen"/>
                <w:b/>
                <w:bCs/>
                <w:szCs w:val="22"/>
              </w:rPr>
              <w:endnoteReference w:id="3"/>
            </w:r>
            <w:bookmarkEnd w:id="2"/>
          </w:p>
        </w:tc>
      </w:tr>
    </w:tbl>
    <w:p w:rsidR="00B51EEC" w:rsidRDefault="00B51EEC" w:rsidP="00B51EEC">
      <w:pPr>
        <w:rPr>
          <w:szCs w:val="22"/>
        </w:rPr>
      </w:pPr>
    </w:p>
    <w:p w:rsidR="00051454" w:rsidRPr="00051454" w:rsidRDefault="00051454" w:rsidP="00FD5500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5C14E2">
        <w:rPr>
          <w:szCs w:val="22"/>
        </w:rPr>
        <w:t>die</w:t>
      </w:r>
      <w:r w:rsidR="005C14E2" w:rsidRPr="00051454">
        <w:rPr>
          <w:szCs w:val="22"/>
        </w:rPr>
        <w:t xml:space="preserve"> Fachbereichs</w:t>
      </w:r>
      <w:r w:rsidR="005C14E2">
        <w:rPr>
          <w:szCs w:val="22"/>
        </w:rPr>
        <w:t>leitung</w:t>
      </w:r>
      <w:r w:rsidR="005C14E2" w:rsidRPr="00051454">
        <w:rPr>
          <w:szCs w:val="22"/>
        </w:rPr>
        <w:t xml:space="preserve"> (FB</w:t>
      </w:r>
      <w:r w:rsidR="005C14E2">
        <w:rPr>
          <w:szCs w:val="22"/>
        </w:rPr>
        <w:t>L</w:t>
      </w:r>
      <w:r w:rsidR="005C14E2" w:rsidRPr="00051454">
        <w:rPr>
          <w:szCs w:val="22"/>
        </w:rPr>
        <w:t>)</w:t>
      </w:r>
      <w:r w:rsidR="005C14E2">
        <w:rPr>
          <w:szCs w:val="22"/>
        </w:rPr>
        <w:t xml:space="preserve">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B51EEC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B51EE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B51EEC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B51EEC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5C14E2">
              <w:rPr>
                <w:b/>
                <w:bCs/>
                <w:szCs w:val="22"/>
              </w:rPr>
              <w:t>L</w:t>
            </w:r>
            <w:r w:rsidR="005C14E2" w:rsidRPr="005C14E2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:rsidR="00051454" w:rsidRPr="003213B1" w:rsidRDefault="00051454" w:rsidP="00B51EEC">
      <w:pPr>
        <w:rPr>
          <w:szCs w:val="22"/>
        </w:rPr>
      </w:pPr>
    </w:p>
    <w:sectPr w:rsidR="00051454" w:rsidRPr="003213B1" w:rsidSect="005C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E2" w:rsidRDefault="005C14E2">
      <w:r>
        <w:separator/>
      </w:r>
    </w:p>
  </w:endnote>
  <w:endnote w:type="continuationSeparator" w:id="0">
    <w:p w:rsidR="005C14E2" w:rsidRDefault="005C14E2">
      <w:r>
        <w:continuationSeparator/>
      </w:r>
    </w:p>
  </w:endnote>
  <w:endnote w:id="1">
    <w:p w:rsidR="00FD5500" w:rsidRPr="00C11979" w:rsidRDefault="00FD5500" w:rsidP="00191893">
      <w:pPr>
        <w:pStyle w:val="Endnotentext"/>
        <w:spacing w:after="60"/>
        <w:ind w:left="142" w:hanging="142"/>
        <w:rPr>
          <w:b/>
          <w:sz w:val="18"/>
          <w:szCs w:val="18"/>
        </w:rPr>
      </w:pPr>
      <w:r w:rsidRPr="00A23F4F">
        <w:rPr>
          <w:rStyle w:val="Endnotenzeichen"/>
          <w:b/>
          <w:szCs w:val="18"/>
        </w:rPr>
        <w:endnoteRef/>
      </w:r>
      <w:r w:rsidR="00B51EEC">
        <w:rPr>
          <w:b/>
          <w:sz w:val="18"/>
          <w:szCs w:val="18"/>
        </w:rPr>
        <w:t xml:space="preserve">  </w:t>
      </w:r>
      <w:r w:rsidRPr="00C11979">
        <w:rPr>
          <w:b/>
          <w:sz w:val="18"/>
          <w:szCs w:val="18"/>
        </w:rPr>
        <w:t>Bereiche der Konformitätsbewertungsaktivitäten der DAkkS:</w:t>
      </w:r>
    </w:p>
    <w:tbl>
      <w:tblPr>
        <w:tblW w:w="4942" w:type="pct"/>
        <w:tblInd w:w="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1092"/>
        <w:gridCol w:w="2786"/>
        <w:gridCol w:w="368"/>
        <w:gridCol w:w="1129"/>
        <w:gridCol w:w="8620"/>
      </w:tblGrid>
      <w:tr w:rsidR="00180755" w:rsidRPr="00C913A0" w:rsidTr="00B51EEC">
        <w:tc>
          <w:tcPr>
            <w:tcW w:w="406" w:type="dxa"/>
          </w:tcPr>
          <w:p w:rsidR="00180755" w:rsidRPr="00C913A0" w:rsidRDefault="00180755" w:rsidP="0083279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092" w:type="dxa"/>
          </w:tcPr>
          <w:p w:rsidR="00180755" w:rsidRPr="00765ECB" w:rsidRDefault="00180755" w:rsidP="00B51EE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786" w:type="dxa"/>
          </w:tcPr>
          <w:p w:rsidR="00180755" w:rsidRPr="00C913A0" w:rsidRDefault="00180755" w:rsidP="0083279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  <w:tc>
          <w:tcPr>
            <w:tcW w:w="368" w:type="dxa"/>
            <w:shd w:val="clear" w:color="auto" w:fill="auto"/>
            <w:tcMar>
              <w:left w:w="0" w:type="dxa"/>
            </w:tcMar>
          </w:tcPr>
          <w:p w:rsidR="00180755" w:rsidRPr="00C913A0" w:rsidRDefault="00180755" w:rsidP="0083279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1129" w:type="dxa"/>
          </w:tcPr>
          <w:p w:rsidR="00180755" w:rsidRPr="00765ECB" w:rsidRDefault="00180755" w:rsidP="00B51EE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8620" w:type="dxa"/>
            <w:shd w:val="clear" w:color="auto" w:fill="auto"/>
          </w:tcPr>
          <w:p w:rsidR="00180755" w:rsidRPr="00C913A0" w:rsidRDefault="00180755" w:rsidP="0083279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</w:tr>
      <w:tr w:rsidR="00180755" w:rsidRPr="00C913A0" w:rsidTr="00B51EEC">
        <w:tc>
          <w:tcPr>
            <w:tcW w:w="406" w:type="dxa"/>
          </w:tcPr>
          <w:p w:rsidR="00180755" w:rsidRDefault="00180755" w:rsidP="0083279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1092" w:type="dxa"/>
          </w:tcPr>
          <w:p w:rsidR="00180755" w:rsidRDefault="00180755" w:rsidP="00B51EE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2786" w:type="dxa"/>
          </w:tcPr>
          <w:p w:rsidR="00180755" w:rsidRDefault="00180755" w:rsidP="0083279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368" w:type="dxa"/>
            <w:shd w:val="clear" w:color="auto" w:fill="auto"/>
            <w:tcMar>
              <w:left w:w="0" w:type="dxa"/>
            </w:tcMar>
          </w:tcPr>
          <w:p w:rsidR="00180755" w:rsidRDefault="00180755" w:rsidP="0083279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129" w:type="dxa"/>
          </w:tcPr>
          <w:p w:rsidR="00180755" w:rsidRDefault="00180755" w:rsidP="00B51EE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8620" w:type="dxa"/>
            <w:shd w:val="clear" w:color="auto" w:fill="auto"/>
          </w:tcPr>
          <w:p w:rsidR="00180755" w:rsidRPr="00C913A0" w:rsidRDefault="00180755" w:rsidP="0083279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Zertifizierungsstelle für </w:t>
            </w:r>
            <w:r w:rsidRPr="00180755">
              <w:rPr>
                <w:sz w:val="18"/>
                <w:szCs w:val="18"/>
              </w:rPr>
              <w:t>Produkte, Prozesse und Dienstleistungen</w:t>
            </w:r>
          </w:p>
        </w:tc>
      </w:tr>
    </w:tbl>
    <w:p w:rsidR="00FD5500" w:rsidRPr="008B073C" w:rsidRDefault="00FD5500" w:rsidP="00191893">
      <w:pPr>
        <w:pStyle w:val="Endnotentext"/>
        <w:rPr>
          <w:sz w:val="2"/>
          <w:szCs w:val="2"/>
        </w:rPr>
      </w:pPr>
    </w:p>
  </w:endnote>
  <w:endnote w:id="2">
    <w:p w:rsidR="00FD5500" w:rsidRDefault="00FD5500" w:rsidP="00FD5500">
      <w:pPr>
        <w:pStyle w:val="Endnotentext"/>
        <w:keepNext/>
        <w:spacing w:before="120"/>
        <w:ind w:left="142" w:hanging="142"/>
        <w:rPr>
          <w:sz w:val="18"/>
          <w:szCs w:val="18"/>
        </w:rPr>
      </w:pPr>
      <w:r w:rsidRPr="00A23F4F">
        <w:rPr>
          <w:rStyle w:val="Endnotenzeichen"/>
          <w:b/>
          <w:sz w:val="18"/>
          <w:szCs w:val="18"/>
        </w:rPr>
        <w:endnoteRef/>
      </w:r>
      <w:r w:rsidR="00B51EEC">
        <w:rPr>
          <w:b/>
          <w:sz w:val="18"/>
          <w:szCs w:val="18"/>
        </w:rPr>
        <w:t xml:space="preserve">  </w:t>
      </w:r>
      <w:r w:rsidRPr="00C11979">
        <w:rPr>
          <w:b/>
          <w:sz w:val="18"/>
          <w:szCs w:val="18"/>
        </w:rPr>
        <w:t>Matrizes:</w:t>
      </w:r>
    </w:p>
    <w:tbl>
      <w:tblPr>
        <w:tblStyle w:val="Tabellenraster"/>
        <w:tblW w:w="4947" w:type="pc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3877"/>
        <w:gridCol w:w="376"/>
        <w:gridCol w:w="5118"/>
        <w:gridCol w:w="410"/>
        <w:gridCol w:w="4222"/>
      </w:tblGrid>
      <w:tr w:rsidR="00FD5500" w:rsidRPr="00392E8F" w:rsidTr="00B51EEC">
        <w:tc>
          <w:tcPr>
            <w:tcW w:w="413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1:</w:t>
            </w:r>
          </w:p>
        </w:tc>
        <w:tc>
          <w:tcPr>
            <w:tcW w:w="3877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97459C">
              <w:rPr>
                <w:sz w:val="18"/>
                <w:szCs w:val="18"/>
              </w:rPr>
              <w:t>Abfälle allgemein</w:t>
            </w:r>
          </w:p>
        </w:tc>
        <w:tc>
          <w:tcPr>
            <w:tcW w:w="376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4:</w:t>
            </w:r>
          </w:p>
        </w:tc>
        <w:tc>
          <w:tcPr>
            <w:tcW w:w="5118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97459C">
              <w:rPr>
                <w:sz w:val="18"/>
                <w:szCs w:val="18"/>
              </w:rPr>
              <w:t>Baumisch</w:t>
            </w:r>
            <w:r>
              <w:rPr>
                <w:sz w:val="18"/>
                <w:szCs w:val="18"/>
              </w:rPr>
              <w:t>abfälle</w:t>
            </w:r>
          </w:p>
        </w:tc>
        <w:tc>
          <w:tcPr>
            <w:tcW w:w="410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7:</w:t>
            </w:r>
          </w:p>
        </w:tc>
        <w:tc>
          <w:tcPr>
            <w:tcW w:w="4222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97459C">
              <w:rPr>
                <w:sz w:val="18"/>
                <w:szCs w:val="18"/>
              </w:rPr>
              <w:t>Verbundmaterialien</w:t>
            </w:r>
          </w:p>
        </w:tc>
      </w:tr>
      <w:tr w:rsidR="00FD5500" w:rsidRPr="00392E8F" w:rsidTr="00B51EEC">
        <w:tc>
          <w:tcPr>
            <w:tcW w:w="413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2:</w:t>
            </w:r>
          </w:p>
        </w:tc>
        <w:tc>
          <w:tcPr>
            <w:tcW w:w="3877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7459C">
              <w:rPr>
                <w:sz w:val="18"/>
                <w:szCs w:val="18"/>
              </w:rPr>
              <w:t>norganische Abfälle zur Beseitigung</w:t>
            </w:r>
          </w:p>
        </w:tc>
        <w:tc>
          <w:tcPr>
            <w:tcW w:w="376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5:</w:t>
            </w:r>
          </w:p>
        </w:tc>
        <w:tc>
          <w:tcPr>
            <w:tcW w:w="5118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7459C">
              <w:rPr>
                <w:sz w:val="18"/>
                <w:szCs w:val="18"/>
              </w:rPr>
              <w:t>ineralische Bauabfälle, RC-Baustoffe, Abfälle zur Verwertung</w:t>
            </w:r>
          </w:p>
        </w:tc>
        <w:tc>
          <w:tcPr>
            <w:tcW w:w="410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8:</w:t>
            </w:r>
          </w:p>
        </w:tc>
        <w:tc>
          <w:tcPr>
            <w:tcW w:w="4222" w:type="dxa"/>
          </w:tcPr>
          <w:p w:rsidR="00FD5500" w:rsidRPr="00392E8F" w:rsidRDefault="00FD5500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97459C">
              <w:rPr>
                <w:sz w:val="18"/>
                <w:szCs w:val="18"/>
              </w:rPr>
              <w:t>atürliche organische Reststoffe und biologische Abfälle</w:t>
            </w:r>
          </w:p>
        </w:tc>
      </w:tr>
      <w:tr w:rsidR="00FD5500" w:rsidRPr="00392E8F" w:rsidTr="00B51EEC">
        <w:tc>
          <w:tcPr>
            <w:tcW w:w="413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77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 w:rsidRPr="0097459C">
              <w:rPr>
                <w:sz w:val="18"/>
                <w:szCs w:val="18"/>
              </w:rPr>
              <w:t>Aschen/Schlacken</w:t>
            </w:r>
          </w:p>
        </w:tc>
        <w:tc>
          <w:tcPr>
            <w:tcW w:w="376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18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 w:rsidRPr="0097459C">
              <w:rPr>
                <w:sz w:val="18"/>
                <w:szCs w:val="18"/>
              </w:rPr>
              <w:t>Asphalte, Teere und bituminöse Abfälle</w:t>
            </w:r>
          </w:p>
        </w:tc>
        <w:tc>
          <w:tcPr>
            <w:tcW w:w="410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92E8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22" w:type="dxa"/>
          </w:tcPr>
          <w:p w:rsidR="00FD5500" w:rsidRPr="00392E8F" w:rsidRDefault="00FD5500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7459C">
              <w:rPr>
                <w:sz w:val="18"/>
                <w:szCs w:val="18"/>
              </w:rPr>
              <w:t>ünstliche organische Reststoffe, Kunststoffabfälle</w:t>
            </w:r>
          </w:p>
        </w:tc>
      </w:tr>
    </w:tbl>
    <w:p w:rsidR="00FD5500" w:rsidRPr="00392E8F" w:rsidRDefault="00FD5500" w:rsidP="00FD5500">
      <w:pPr>
        <w:pStyle w:val="Endnotentext"/>
        <w:rPr>
          <w:sz w:val="2"/>
          <w:szCs w:val="2"/>
        </w:rPr>
      </w:pPr>
    </w:p>
  </w:endnote>
  <w:endnote w:id="3">
    <w:p w:rsidR="005C14E2" w:rsidRPr="007B339B" w:rsidRDefault="005C14E2" w:rsidP="00B51EEC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="00B51EEC">
        <w:rPr>
          <w:b/>
          <w:sz w:val="18"/>
          <w:szCs w:val="18"/>
        </w:rPr>
        <w:t xml:space="preserve"> 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81" w:rsidRDefault="002C5A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E2" w:rsidRDefault="005C14E2" w:rsidP="002C5A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E2" w:rsidRPr="00357D48" w:rsidRDefault="005C14E2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5C14E2" w:rsidRDefault="005C14E2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5C14E2" w:rsidRDefault="005C14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E2" w:rsidRDefault="005C14E2">
      <w:r>
        <w:separator/>
      </w:r>
    </w:p>
  </w:footnote>
  <w:footnote w:type="continuationSeparator" w:id="0">
    <w:p w:rsidR="005C14E2" w:rsidRDefault="005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81" w:rsidRDefault="002C5A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5C14E2" w:rsidRPr="004E27C4" w:rsidTr="00502850">
      <w:trPr>
        <w:cantSplit/>
      </w:trPr>
      <w:tc>
        <w:tcPr>
          <w:tcW w:w="2052" w:type="dxa"/>
          <w:vMerge w:val="restart"/>
          <w:vAlign w:val="center"/>
        </w:tcPr>
        <w:p w:rsidR="005C14E2" w:rsidRPr="006B07B0" w:rsidRDefault="005C14E2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2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5C14E2" w:rsidRPr="0082329F" w:rsidRDefault="005C14E2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5C14E2" w:rsidRPr="00D842CD" w:rsidRDefault="005C14E2" w:rsidP="00D842CD">
          <w:pPr>
            <w:jc w:val="center"/>
            <w:rPr>
              <w:b/>
            </w:rPr>
          </w:pPr>
          <w:r w:rsidRPr="0082329F">
            <w:rPr>
              <w:b/>
              <w:sz w:val="24"/>
              <w:szCs w:val="24"/>
            </w:rPr>
            <w:t>Abfall</w:t>
          </w:r>
        </w:p>
      </w:tc>
      <w:tc>
        <w:tcPr>
          <w:tcW w:w="2348" w:type="dxa"/>
          <w:gridSpan w:val="2"/>
        </w:tcPr>
        <w:p w:rsidR="005C14E2" w:rsidRPr="00A73061" w:rsidRDefault="005C14E2" w:rsidP="00003ABD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FO-BU_028</w:t>
          </w:r>
        </w:p>
      </w:tc>
    </w:tr>
    <w:tr w:rsidR="005C14E2" w:rsidRPr="004E27C4" w:rsidTr="00502850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C14E2" w:rsidRPr="00A73061" w:rsidRDefault="005C14E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A73061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5C14E2" w:rsidRPr="00A73061" w:rsidRDefault="005C14E2" w:rsidP="005C14E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5C14E2" w:rsidRPr="00732443" w:rsidTr="00502850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C14E2" w:rsidRPr="00A73061" w:rsidRDefault="005C14E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A73061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5C14E2" w:rsidRPr="00A73061" w:rsidRDefault="00FD5500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5C14E2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5C14E2" w:rsidRPr="004E27C4" w:rsidTr="00502850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51EEC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51EEC">
            <w:rPr>
              <w:rStyle w:val="Seitenzahl"/>
              <w:rFonts w:ascii="Calibri" w:hAnsi="Calibri" w:cs="Arial"/>
              <w:noProof/>
              <w:sz w:val="16"/>
              <w:szCs w:val="16"/>
            </w:rPr>
            <w:t>8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C14E2" w:rsidRPr="007968B9" w:rsidRDefault="005C14E2" w:rsidP="00EC14F6">
    <w:pPr>
      <w:pStyle w:val="Kopfzeil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5C14E2" w:rsidRPr="004E27C4">
      <w:trPr>
        <w:cantSplit/>
      </w:trPr>
      <w:tc>
        <w:tcPr>
          <w:tcW w:w="2770" w:type="dxa"/>
          <w:vMerge w:val="restart"/>
          <w:vAlign w:val="center"/>
        </w:tcPr>
        <w:p w:rsidR="005C14E2" w:rsidRPr="006B07B0" w:rsidRDefault="005C14E2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5C14E2" w:rsidRPr="004E27C4" w:rsidRDefault="005C14E2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5C14E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5C14E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5C14E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5C14E2" w:rsidRPr="006B07B0" w:rsidRDefault="005C14E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5C14E2" w:rsidRPr="006B07B0" w:rsidRDefault="005C14E2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5C14E2" w:rsidRPr="004E27C4" w:rsidRDefault="005C14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e0zg5At1Pgt5G9UNak5SIyc0fzbzuSwkCB81TucMwlRsysB4fodiSOxCuXk+69bZFcY/5UVGE5A8SXjiub9V1Q==" w:salt="OR/7r9IMo4dtiiLtvPKSp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3ABD"/>
    <w:rsid w:val="000054DE"/>
    <w:rsid w:val="00006F8F"/>
    <w:rsid w:val="00013237"/>
    <w:rsid w:val="00027AA9"/>
    <w:rsid w:val="00030134"/>
    <w:rsid w:val="00032054"/>
    <w:rsid w:val="00033E0C"/>
    <w:rsid w:val="000466A1"/>
    <w:rsid w:val="00051454"/>
    <w:rsid w:val="00075AEB"/>
    <w:rsid w:val="000A3751"/>
    <w:rsid w:val="000C0851"/>
    <w:rsid w:val="000C492D"/>
    <w:rsid w:val="000D4987"/>
    <w:rsid w:val="000F3F9C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0755"/>
    <w:rsid w:val="00186218"/>
    <w:rsid w:val="00191893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1DCB"/>
    <w:rsid w:val="002A2BD4"/>
    <w:rsid w:val="002A3FE9"/>
    <w:rsid w:val="002C5A81"/>
    <w:rsid w:val="002D2666"/>
    <w:rsid w:val="002D7ECA"/>
    <w:rsid w:val="002E1C85"/>
    <w:rsid w:val="002F7679"/>
    <w:rsid w:val="002F7E17"/>
    <w:rsid w:val="003173F2"/>
    <w:rsid w:val="003213B1"/>
    <w:rsid w:val="003274C9"/>
    <w:rsid w:val="0033451C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58BC"/>
    <w:rsid w:val="003F5518"/>
    <w:rsid w:val="003F7A10"/>
    <w:rsid w:val="003F7E38"/>
    <w:rsid w:val="00412731"/>
    <w:rsid w:val="004135ED"/>
    <w:rsid w:val="00416A9F"/>
    <w:rsid w:val="00452614"/>
    <w:rsid w:val="00455C0E"/>
    <w:rsid w:val="00477CC4"/>
    <w:rsid w:val="00494F3F"/>
    <w:rsid w:val="004A489B"/>
    <w:rsid w:val="004A7108"/>
    <w:rsid w:val="004B0DA1"/>
    <w:rsid w:val="004C34A2"/>
    <w:rsid w:val="004D2C96"/>
    <w:rsid w:val="005004E8"/>
    <w:rsid w:val="00502850"/>
    <w:rsid w:val="005035F7"/>
    <w:rsid w:val="005201F4"/>
    <w:rsid w:val="00527BB2"/>
    <w:rsid w:val="0056070E"/>
    <w:rsid w:val="00572BE3"/>
    <w:rsid w:val="005A1417"/>
    <w:rsid w:val="005A73FB"/>
    <w:rsid w:val="005B1042"/>
    <w:rsid w:val="005B1599"/>
    <w:rsid w:val="005B42D4"/>
    <w:rsid w:val="005C14E2"/>
    <w:rsid w:val="005C6591"/>
    <w:rsid w:val="005D4805"/>
    <w:rsid w:val="005E263E"/>
    <w:rsid w:val="005E55AB"/>
    <w:rsid w:val="005E6303"/>
    <w:rsid w:val="005F4F21"/>
    <w:rsid w:val="006020EA"/>
    <w:rsid w:val="00613C45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9080A"/>
    <w:rsid w:val="007925E4"/>
    <w:rsid w:val="0079348C"/>
    <w:rsid w:val="007968B9"/>
    <w:rsid w:val="00796F47"/>
    <w:rsid w:val="007A72F7"/>
    <w:rsid w:val="007B21CA"/>
    <w:rsid w:val="007B294A"/>
    <w:rsid w:val="007D0494"/>
    <w:rsid w:val="007D2CA1"/>
    <w:rsid w:val="007D4924"/>
    <w:rsid w:val="007D726B"/>
    <w:rsid w:val="007E7846"/>
    <w:rsid w:val="007F5099"/>
    <w:rsid w:val="00801A55"/>
    <w:rsid w:val="0080213A"/>
    <w:rsid w:val="008036F7"/>
    <w:rsid w:val="00805C93"/>
    <w:rsid w:val="0080616B"/>
    <w:rsid w:val="008132EE"/>
    <w:rsid w:val="0082329F"/>
    <w:rsid w:val="00824644"/>
    <w:rsid w:val="00824FE9"/>
    <w:rsid w:val="00825849"/>
    <w:rsid w:val="00832797"/>
    <w:rsid w:val="00846D1F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6E55"/>
    <w:rsid w:val="008C25D0"/>
    <w:rsid w:val="008C40FC"/>
    <w:rsid w:val="008D0BFC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67250"/>
    <w:rsid w:val="009745F3"/>
    <w:rsid w:val="00976681"/>
    <w:rsid w:val="00991AC2"/>
    <w:rsid w:val="009952F3"/>
    <w:rsid w:val="009B0F6E"/>
    <w:rsid w:val="009B2725"/>
    <w:rsid w:val="009C7EFE"/>
    <w:rsid w:val="009F2C1F"/>
    <w:rsid w:val="00A0553C"/>
    <w:rsid w:val="00A10568"/>
    <w:rsid w:val="00A122FC"/>
    <w:rsid w:val="00A12559"/>
    <w:rsid w:val="00A23A28"/>
    <w:rsid w:val="00A23F4F"/>
    <w:rsid w:val="00A261F7"/>
    <w:rsid w:val="00A34206"/>
    <w:rsid w:val="00A40EC1"/>
    <w:rsid w:val="00A43D8C"/>
    <w:rsid w:val="00A61B8B"/>
    <w:rsid w:val="00A723DA"/>
    <w:rsid w:val="00A73061"/>
    <w:rsid w:val="00AA0476"/>
    <w:rsid w:val="00AA182E"/>
    <w:rsid w:val="00AA5064"/>
    <w:rsid w:val="00AA7136"/>
    <w:rsid w:val="00AB0F6E"/>
    <w:rsid w:val="00AB46CB"/>
    <w:rsid w:val="00AC1B2B"/>
    <w:rsid w:val="00AE4FF9"/>
    <w:rsid w:val="00AF06E9"/>
    <w:rsid w:val="00B011EB"/>
    <w:rsid w:val="00B1618B"/>
    <w:rsid w:val="00B272E8"/>
    <w:rsid w:val="00B50323"/>
    <w:rsid w:val="00B5106E"/>
    <w:rsid w:val="00B51096"/>
    <w:rsid w:val="00B51EEC"/>
    <w:rsid w:val="00B57465"/>
    <w:rsid w:val="00B63A58"/>
    <w:rsid w:val="00B84EBA"/>
    <w:rsid w:val="00B905B9"/>
    <w:rsid w:val="00B91EDC"/>
    <w:rsid w:val="00BA6038"/>
    <w:rsid w:val="00BB534E"/>
    <w:rsid w:val="00BE14FC"/>
    <w:rsid w:val="00C0353C"/>
    <w:rsid w:val="00C11979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A4A87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5637"/>
    <w:rsid w:val="00D842CD"/>
    <w:rsid w:val="00DA117D"/>
    <w:rsid w:val="00DA609D"/>
    <w:rsid w:val="00DA6F1A"/>
    <w:rsid w:val="00DA7B9A"/>
    <w:rsid w:val="00DC3B97"/>
    <w:rsid w:val="00E16AAA"/>
    <w:rsid w:val="00E24FA1"/>
    <w:rsid w:val="00E26211"/>
    <w:rsid w:val="00E3068B"/>
    <w:rsid w:val="00E306D0"/>
    <w:rsid w:val="00E316AB"/>
    <w:rsid w:val="00E31980"/>
    <w:rsid w:val="00E33B4F"/>
    <w:rsid w:val="00E35932"/>
    <w:rsid w:val="00E40179"/>
    <w:rsid w:val="00E42F05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86751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F10702"/>
    <w:rsid w:val="00F727C0"/>
    <w:rsid w:val="00F92E4C"/>
    <w:rsid w:val="00F95CBB"/>
    <w:rsid w:val="00FB4911"/>
    <w:rsid w:val="00FB5C8C"/>
    <w:rsid w:val="00FD550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A4FB-3CE1-4352-B2C0-F43864A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9</cp:revision>
  <cp:lastPrinted>2019-05-09T11:58:00Z</cp:lastPrinted>
  <dcterms:created xsi:type="dcterms:W3CDTF">2022-06-08T12:33:00Z</dcterms:created>
  <dcterms:modified xsi:type="dcterms:W3CDTF">2023-03-01T09:13:00Z</dcterms:modified>
</cp:coreProperties>
</file>