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995"/>
        <w:gridCol w:w="3258"/>
        <w:gridCol w:w="850"/>
        <w:gridCol w:w="201"/>
        <w:gridCol w:w="650"/>
        <w:gridCol w:w="6348"/>
      </w:tblGrid>
      <w:tr w:rsidR="007B21CA" w:rsidRPr="007B21CA" w:rsidTr="00AB331A">
        <w:trPr>
          <w:cantSplit/>
          <w:tblHeader/>
        </w:trPr>
        <w:tc>
          <w:tcPr>
            <w:tcW w:w="3258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DA117D">
            <w:pPr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 w:rsidR="00051454"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258" w:type="dxa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 w:rsidR="00051454">
              <w:rPr>
                <w:b/>
                <w:bCs/>
                <w:sz w:val="20"/>
              </w:rPr>
              <w:t>: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947CF3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 w:rsidR="00051454">
              <w:rPr>
                <w:b/>
                <w:bCs/>
                <w:sz w:val="20"/>
              </w:rPr>
              <w:t>:</w:t>
            </w:r>
          </w:p>
        </w:tc>
        <w:tc>
          <w:tcPr>
            <w:tcW w:w="699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0E5927" w:rsidRDefault="00947CF3" w:rsidP="00732697">
            <w:pPr>
              <w:rPr>
                <w:sz w:val="18"/>
                <w:szCs w:val="18"/>
                <w:u w:val="single"/>
              </w:rPr>
            </w:pPr>
            <w:r w:rsidRPr="000E5927">
              <w:rPr>
                <w:sz w:val="18"/>
                <w:szCs w:val="18"/>
                <w:u w:val="single"/>
              </w:rPr>
              <w:t>Erläuterung</w:t>
            </w:r>
            <w:r w:rsidRPr="002F77D2">
              <w:rPr>
                <w:sz w:val="18"/>
                <w:szCs w:val="18"/>
              </w:rPr>
              <w:t>:</w:t>
            </w:r>
            <w:r w:rsidR="000E5927" w:rsidRPr="002F77D2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590612" w:rsidRPr="00590612">
              <w:rPr>
                <w:sz w:val="18"/>
                <w:szCs w:val="18"/>
              </w:rPr>
              <w:t>Akademischer Abschluss</w:t>
            </w:r>
            <w:r w:rsidR="00590612">
              <w:rPr>
                <w:sz w:val="18"/>
                <w:szCs w:val="18"/>
              </w:rPr>
              <w:t>,</w:t>
            </w:r>
            <w:r w:rsidR="00590612" w:rsidRPr="00590612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 xml:space="preserve">Berufserfahrung, Tätigkeiten, </w:t>
            </w:r>
            <w:r w:rsidR="000E5927">
              <w:rPr>
                <w:sz w:val="18"/>
                <w:szCs w:val="18"/>
              </w:rPr>
              <w:t>Schulungen, sonstige</w:t>
            </w:r>
            <w:r w:rsidRPr="007B21CA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7B21CA" w:rsidRPr="007B21CA" w:rsidTr="00AB331A">
        <w:trPr>
          <w:cantSplit/>
          <w:tblHeader/>
        </w:trPr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EC14F6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ED5133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ED5133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0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ED5133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69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ED5133" w:rsidRDefault="00947CF3" w:rsidP="00EC14F6">
            <w:pPr>
              <w:rPr>
                <w:szCs w:val="22"/>
              </w:rPr>
            </w:pPr>
          </w:p>
        </w:tc>
      </w:tr>
      <w:tr w:rsidR="007B21CA" w:rsidRPr="000745FD" w:rsidTr="00AB331A">
        <w:trPr>
          <w:cantSplit/>
          <w:tblHeader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ED5133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ED5133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ED5133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CF3" w:rsidRPr="00ED5133" w:rsidRDefault="00947CF3" w:rsidP="00EC14F6">
            <w:pPr>
              <w:rPr>
                <w:sz w:val="2"/>
                <w:szCs w:val="2"/>
              </w:rPr>
            </w:pPr>
          </w:p>
        </w:tc>
      </w:tr>
      <w:tr w:rsidR="00DC5D22" w:rsidRPr="00732697" w:rsidTr="00AB331A">
        <w:trPr>
          <w:cantSplit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0C37BB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732697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732697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C16B40" w:rsidRDefault="00DC5D22" w:rsidP="002F27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 xml:space="preserve">Zutreffende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Akkred.-</w:t>
            </w: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Aktivität ankreuzen</w:t>
            </w:r>
            <w:r w:rsidRPr="002A52C0">
              <w:rPr>
                <w:rStyle w:val="Endnotenzeichen"/>
                <w:b/>
                <w:szCs w:val="18"/>
              </w:rPr>
              <w:endnoteReference w:id="1"/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732697" w:rsidRDefault="00166622" w:rsidP="002F27FD">
            <w:pPr>
              <w:ind w:left="1201" w:hanging="120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DC5D22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9E3FD8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DC5D22"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DC5D22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DC5D22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DC5D22" w:rsidRPr="00732697" w:rsidTr="00AB331A">
        <w:trPr>
          <w:cantSplit/>
          <w:tblHeader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0C37BB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732697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D22" w:rsidRPr="00732697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C5D22" w:rsidRPr="00DC5D22" w:rsidRDefault="00DC5D22" w:rsidP="002D2666">
            <w:pPr>
              <w:jc w:val="center"/>
              <w:rPr>
                <w:rFonts w:cs="Times New Roman"/>
                <w:b/>
                <w:sz w:val="20"/>
              </w:rPr>
            </w:pPr>
            <w:r w:rsidRPr="00DC5D22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C5D22" w:rsidRPr="00DC5D22" w:rsidRDefault="00DC5D22" w:rsidP="00031FE2">
            <w:pPr>
              <w:jc w:val="center"/>
              <w:rPr>
                <w:rFonts w:cs="Times New Roman"/>
                <w:b/>
                <w:sz w:val="20"/>
              </w:rPr>
            </w:pPr>
            <w:r w:rsidRPr="00DC5D22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C5D22" w:rsidRPr="00732697" w:rsidRDefault="00DC5D22" w:rsidP="002D266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56621" w:rsidRPr="00B91EDC" w:rsidTr="00AB331A">
        <w:trPr>
          <w:cantSplit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166622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  <w:r w:rsidRPr="000745FD">
              <w:rPr>
                <w:rFonts w:cs="Times New Roman"/>
                <w:b/>
                <w:sz w:val="20"/>
              </w:rPr>
              <w:t>Forensische Medizin, Toxikologie, Biologie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21" w:rsidRPr="00B91EDC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56621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0745FD" w:rsidRDefault="00056621" w:rsidP="00A6592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B826FE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  <w:r w:rsidRPr="000745FD">
              <w:rPr>
                <w:rFonts w:cs="Times New Roman"/>
                <w:b/>
                <w:sz w:val="20"/>
              </w:rPr>
              <w:t>Forensische Alkohologie</w:t>
            </w:r>
            <w:r w:rsidR="0031579C">
              <w:rPr>
                <w:rFonts w:cs="Times New Roman"/>
                <w:b/>
                <w:sz w:val="20"/>
              </w:rPr>
              <w:t xml:space="preserve"> und </w:t>
            </w:r>
            <w:r w:rsidR="00B826FE">
              <w:rPr>
                <w:rFonts w:cs="Times New Roman"/>
                <w:b/>
                <w:sz w:val="20"/>
              </w:rPr>
              <w:t xml:space="preserve">Blutalkoholuntersuchungen </w:t>
            </w:r>
            <w:r w:rsidR="00DC5D22">
              <w:rPr>
                <w:rFonts w:cs="Times New Roman"/>
                <w:b/>
                <w:sz w:val="20"/>
              </w:rPr>
              <w:br/>
            </w:r>
            <w:r w:rsidR="00B826FE">
              <w:rPr>
                <w:rFonts w:cs="Times New Roman"/>
                <w:b/>
                <w:sz w:val="20"/>
              </w:rPr>
              <w:t>für forensische Zwecke, ohne Gutachten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21" w:rsidRPr="00B91EDC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2F27FD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Gaschromatographie (GC)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2F27FD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Spektrometrie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Absorptionsspektrometrie/</w:t>
            </w:r>
            <w:r w:rsidR="002F27FD">
              <w:rPr>
                <w:rFonts w:cs="Calibri"/>
                <w:color w:val="000000"/>
                <w:sz w:val="20"/>
              </w:rPr>
              <w:t xml:space="preserve"> </w:t>
            </w:r>
            <w:r w:rsidRPr="000745FD">
              <w:rPr>
                <w:rFonts w:cs="Calibri"/>
                <w:color w:val="000000"/>
                <w:sz w:val="20"/>
              </w:rPr>
              <w:t>Photometrie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6621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0745FD" w:rsidRDefault="00056621" w:rsidP="00A6592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DC5D22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  <w:r w:rsidRPr="000745FD">
              <w:rPr>
                <w:b/>
                <w:sz w:val="20"/>
              </w:rPr>
              <w:t>Forensische Genetik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21" w:rsidRPr="00B91EDC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  <w:r w:rsidRPr="000745FD">
              <w:rPr>
                <w:rFonts w:cs="Times New Roman"/>
                <w:sz w:val="20"/>
              </w:rPr>
              <w:t>Polymerase-Kettenreaktion (PCR)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745FD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5FD" w:rsidRPr="000745FD" w:rsidRDefault="000745FD" w:rsidP="00A6592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5FD" w:rsidRPr="000745FD" w:rsidRDefault="000745FD" w:rsidP="00A6592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0745FD">
              <w:rPr>
                <w:rFonts w:cs="Times New Roman"/>
                <w:b/>
                <w:sz w:val="20"/>
              </w:rPr>
              <w:t>Forensische Medizin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D" w:rsidRPr="00B91EDC" w:rsidRDefault="000745FD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>Blutspurenanalyse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>Histologie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2F27FD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>Inspektionen von lebenden Personen zur Beweissicherung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>Inspektionen von Leichen zum Zweck der Feuerbestattung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>Sektion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56621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0745FD" w:rsidRDefault="00056621" w:rsidP="00A6592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6621" w:rsidRPr="00B826FE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  <w:r w:rsidRPr="000745FD">
              <w:rPr>
                <w:rFonts w:cs="Times New Roman"/>
                <w:b/>
                <w:sz w:val="20"/>
              </w:rPr>
              <w:t>Forensische Toxikologie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21" w:rsidRPr="00B91EDC" w:rsidRDefault="00056621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2F27FD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Dünnschichtchromatographie (DC)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826FE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826FE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F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2F27FD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Flüssigchromatographie (LC)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  <w:tblHeader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AB331A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Gaschromatographie (GC)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AB331A" w:rsidP="0078263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Immunchemische Verfahren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AB331A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Spektrometrie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Absorptionsspektrometrie/</w:t>
            </w:r>
            <w:r w:rsidR="00AB331A">
              <w:rPr>
                <w:rFonts w:cs="Calibri"/>
                <w:color w:val="000000"/>
                <w:sz w:val="20"/>
              </w:rPr>
              <w:t xml:space="preserve"> </w:t>
            </w:r>
            <w:r w:rsidRPr="000745FD">
              <w:rPr>
                <w:rFonts w:cs="Calibri"/>
                <w:color w:val="000000"/>
                <w:sz w:val="20"/>
              </w:rPr>
              <w:t>Photometrie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43C8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A6592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B826FE" w:rsidRDefault="003143C8" w:rsidP="00A6592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Forensische Toxikologie </w:t>
            </w:r>
            <w:r w:rsidR="0031579C">
              <w:rPr>
                <w:rFonts w:cs="Times New Roman"/>
                <w:b/>
                <w:sz w:val="20"/>
              </w:rPr>
              <w:t>–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="0031579C">
              <w:rPr>
                <w:rFonts w:cs="Times New Roman"/>
                <w:b/>
                <w:sz w:val="20"/>
              </w:rPr>
              <w:t xml:space="preserve">(inkl./im Rahmen) </w:t>
            </w:r>
            <w:r>
              <w:rPr>
                <w:rFonts w:cs="Times New Roman"/>
                <w:b/>
                <w:sz w:val="20"/>
              </w:rPr>
              <w:t>Fahreignungsdiagnostik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143C8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AB331A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Dünnschichtchromatographie (DC)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826FE" w:rsidRDefault="003143C8" w:rsidP="002F27F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826FE" w:rsidRDefault="003143C8" w:rsidP="002F27FD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6F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43C8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AB331A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Flüssigchromatographie (LC)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43C8" w:rsidRPr="00B91EDC" w:rsidTr="00AB331A">
        <w:trPr>
          <w:cantSplit/>
          <w:tblHeader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AB331A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Chromatographie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Gaschromatographie (GC)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43C8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DC5D22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>Immunchemische Verfahren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43C8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2F27FD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0745FD" w:rsidRDefault="003143C8" w:rsidP="00AB331A">
            <w:pPr>
              <w:rPr>
                <w:rFonts w:cs="Calibri"/>
                <w:color w:val="000000"/>
                <w:sz w:val="20"/>
              </w:rPr>
            </w:pPr>
            <w:r w:rsidRPr="000745FD">
              <w:rPr>
                <w:rFonts w:cs="Calibri"/>
                <w:color w:val="000000"/>
                <w:sz w:val="20"/>
              </w:rPr>
              <w:t xml:space="preserve">Spektrometrie </w:t>
            </w:r>
            <w:r w:rsidR="009D04E0">
              <w:rPr>
                <w:rFonts w:cs="Calibri"/>
                <w:color w:val="000000"/>
                <w:sz w:val="20"/>
              </w:rPr>
              <w:t>-</w:t>
            </w:r>
            <w:r w:rsidRPr="000745FD">
              <w:rPr>
                <w:rFonts w:cs="Calibri"/>
                <w:color w:val="000000"/>
                <w:sz w:val="20"/>
              </w:rPr>
              <w:t xml:space="preserve"> Absorptionsspektrometrie/</w:t>
            </w:r>
            <w:r w:rsidR="00AB331A">
              <w:rPr>
                <w:rFonts w:cs="Calibri"/>
                <w:color w:val="000000"/>
                <w:sz w:val="20"/>
              </w:rPr>
              <w:t xml:space="preserve"> </w:t>
            </w:r>
            <w:r w:rsidRPr="000745FD">
              <w:rPr>
                <w:rFonts w:cs="Calibri"/>
                <w:color w:val="000000"/>
                <w:sz w:val="20"/>
              </w:rPr>
              <w:t>Photometrie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DC5D22" w:rsidRDefault="003143C8" w:rsidP="002F27F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DC5D22" w:rsidRDefault="003143C8" w:rsidP="002F27FD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C8" w:rsidRPr="00B91EDC" w:rsidRDefault="003143C8" w:rsidP="002F27F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745FD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5FD" w:rsidRPr="000745FD" w:rsidRDefault="000745FD" w:rsidP="00A6592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5FD" w:rsidRPr="00B826FE" w:rsidRDefault="00B826FE" w:rsidP="00A6592A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cs="Times New Roman"/>
                <w:b/>
                <w:sz w:val="20"/>
              </w:rPr>
              <w:t>Probenahme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D" w:rsidRPr="00B91EDC" w:rsidRDefault="000745FD" w:rsidP="00A6592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B826FE" w:rsidP="00AB331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Forensische Alkohologie</w:t>
            </w:r>
            <w:r w:rsidR="0031579C">
              <w:rPr>
                <w:rFonts w:cs="Calibri"/>
                <w:color w:val="000000"/>
                <w:sz w:val="20"/>
              </w:rPr>
              <w:t xml:space="preserve"> und </w:t>
            </w:r>
            <w:r>
              <w:rPr>
                <w:rFonts w:cs="Calibri"/>
                <w:color w:val="000000"/>
                <w:sz w:val="20"/>
              </w:rPr>
              <w:t>Blutalkoholuntersuchungen für forensische Zwecke, ohne Gutachten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826FE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A5E62" w:rsidRPr="00B91EDC" w:rsidTr="00CD7B23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E62" w:rsidRPr="000745FD" w:rsidRDefault="00EA5E62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E62" w:rsidRPr="000745FD" w:rsidRDefault="00EA5E62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2" w:rsidRDefault="00EA5E62" w:rsidP="0078263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Forensische Genetik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2" w:rsidRPr="00B826FE" w:rsidRDefault="00EA5E62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2" w:rsidRPr="00B91EDC" w:rsidRDefault="00EA5E62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2" w:rsidRDefault="00EA5E62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CD7B23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EA5E62" w:rsidP="0078263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Forensische Medizin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bookmarkStart w:id="4" w:name="_GoBack"/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CD7B23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EA5E62" w:rsidP="00AB331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Forensische Toxikologie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EA5E6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82633" w:rsidRPr="00B91EDC" w:rsidTr="00AB331A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782633" w:rsidP="0078263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0745FD" w:rsidRDefault="00EA5E62" w:rsidP="00DC5D2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  <w:r w:rsidR="0031579C">
              <w:rPr>
                <w:rFonts w:cs="Calibri"/>
                <w:color w:val="000000"/>
                <w:sz w:val="20"/>
              </w:rPr>
              <w:t xml:space="preserve"> </w:t>
            </w:r>
            <w:r w:rsidR="0031579C" w:rsidRPr="0031579C">
              <w:rPr>
                <w:rFonts w:cs="Calibri"/>
                <w:color w:val="000000"/>
                <w:sz w:val="20"/>
              </w:rPr>
              <w:t xml:space="preserve">(inkl./im Rahmen) </w:t>
            </w:r>
            <w:r w:rsidRPr="00B826FE">
              <w:rPr>
                <w:rFonts w:cs="Calibri"/>
                <w:color w:val="000000"/>
                <w:sz w:val="20"/>
              </w:rPr>
              <w:t>Fahreignungsdiagnostik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826FE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DC5D22" w:rsidRDefault="00782633" w:rsidP="00782633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2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F27FD">
              <w:rPr>
                <w:rFonts w:asciiTheme="minorHAnsi" w:hAnsiTheme="minorHAnsi"/>
                <w:sz w:val="20"/>
                <w:lang w:val="en-GB"/>
              </w:rPr>
            </w:r>
            <w:r w:rsidR="002F27F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33" w:rsidRPr="00B91EDC" w:rsidRDefault="00782633" w:rsidP="007826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051454" w:rsidRPr="00051454" w:rsidRDefault="00051454" w:rsidP="00AB331A">
      <w:pPr>
        <w:keepNext/>
        <w:spacing w:before="36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9D04E0">
      <w:pPr>
        <w:pStyle w:val="Textkrper2"/>
        <w:keepNext/>
        <w:spacing w:after="12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94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83"/>
        <w:gridCol w:w="4395"/>
      </w:tblGrid>
      <w:tr w:rsidR="000E5927" w:rsidRPr="00051454" w:rsidTr="00AB331A">
        <w:trPr>
          <w:cantSplit/>
          <w:trHeight w:val="340"/>
        </w:trPr>
        <w:tc>
          <w:tcPr>
            <w:tcW w:w="4267" w:type="dxa"/>
            <w:tcBorders>
              <w:top w:val="nil"/>
              <w:bottom w:val="single" w:sz="4" w:space="0" w:color="auto"/>
            </w:tcBorders>
          </w:tcPr>
          <w:p w:rsidR="000E5927" w:rsidRPr="00051454" w:rsidRDefault="000E5927" w:rsidP="002F27FD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5927" w:rsidRPr="00051454" w:rsidRDefault="000E5927" w:rsidP="002F27FD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E5927" w:rsidRPr="00051454" w:rsidRDefault="000E5927" w:rsidP="002F27FD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0E5927" w:rsidRPr="00051454" w:rsidTr="00AB331A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bottom w:val="nil"/>
            </w:tcBorders>
          </w:tcPr>
          <w:p w:rsidR="000E5927" w:rsidRPr="00051454" w:rsidRDefault="000E5927" w:rsidP="00AB331A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5927" w:rsidRPr="00051454" w:rsidRDefault="000E5927" w:rsidP="00AB331A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E5927" w:rsidRPr="00051454" w:rsidRDefault="000E5927" w:rsidP="00AB331A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166622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0E5927" w:rsidRPr="00051454" w:rsidRDefault="000E5927" w:rsidP="00AB331A">
      <w:pPr>
        <w:keepNext/>
        <w:spacing w:before="240"/>
        <w:rPr>
          <w:szCs w:val="22"/>
        </w:rPr>
      </w:pPr>
      <w:r w:rsidRPr="00051454">
        <w:rPr>
          <w:szCs w:val="22"/>
        </w:rPr>
        <w:t xml:space="preserve">Zustimmung durch </w:t>
      </w:r>
      <w:r w:rsidR="00166622">
        <w:rPr>
          <w:szCs w:val="22"/>
        </w:rPr>
        <w:t>die</w:t>
      </w:r>
      <w:r w:rsidR="00166622" w:rsidRPr="00051454">
        <w:rPr>
          <w:szCs w:val="22"/>
        </w:rPr>
        <w:t xml:space="preserve"> Fachbereichs</w:t>
      </w:r>
      <w:r w:rsidR="00166622">
        <w:rPr>
          <w:szCs w:val="22"/>
        </w:rPr>
        <w:t>leitung</w:t>
      </w:r>
      <w:r w:rsidR="00166622" w:rsidRPr="00051454">
        <w:rPr>
          <w:szCs w:val="22"/>
        </w:rPr>
        <w:t xml:space="preserve"> (FB</w:t>
      </w:r>
      <w:r w:rsidR="00166622">
        <w:rPr>
          <w:szCs w:val="22"/>
        </w:rPr>
        <w:t>L</w:t>
      </w:r>
      <w:r w:rsidR="00166622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4253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E5927" w:rsidRPr="00051454" w:rsidTr="00AB331A">
        <w:trPr>
          <w:cantSplit/>
          <w:trHeight w:val="964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E5927" w:rsidRPr="00051454" w:rsidRDefault="000E5927" w:rsidP="00AB331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E5927" w:rsidRPr="00051454" w:rsidTr="00AB331A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E5927" w:rsidRPr="00051454" w:rsidRDefault="000E5927" w:rsidP="00AB331A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166622">
              <w:rPr>
                <w:b/>
                <w:bCs/>
                <w:szCs w:val="22"/>
              </w:rPr>
              <w:t>L</w:t>
            </w:r>
            <w:r w:rsidR="00166622" w:rsidRPr="00166622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0E5927" w:rsidRPr="00DC5D22" w:rsidRDefault="000E5927" w:rsidP="00A6592A">
      <w:pPr>
        <w:keepNext/>
        <w:rPr>
          <w:szCs w:val="22"/>
        </w:rPr>
      </w:pPr>
    </w:p>
    <w:sectPr w:rsidR="000E5927" w:rsidRPr="00DC5D22" w:rsidSect="00ED5133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1A" w:rsidRDefault="00AB331A">
      <w:r>
        <w:separator/>
      </w:r>
    </w:p>
  </w:endnote>
  <w:endnote w:type="continuationSeparator" w:id="0">
    <w:p w:rsidR="00AB331A" w:rsidRDefault="00AB331A">
      <w:r>
        <w:continuationSeparator/>
      </w:r>
    </w:p>
  </w:endnote>
  <w:endnote w:id="1">
    <w:p w:rsidR="00AB331A" w:rsidRPr="008B073C" w:rsidRDefault="00AB331A" w:rsidP="00A6592A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>
        <w:rPr>
          <w:sz w:val="18"/>
          <w:szCs w:val="18"/>
        </w:rPr>
        <w:t xml:space="preserve"> 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2807" w:type="pct"/>
        <w:tblInd w:w="1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163"/>
        <w:gridCol w:w="2249"/>
        <w:gridCol w:w="293"/>
        <w:gridCol w:w="1143"/>
        <w:gridCol w:w="2702"/>
      </w:tblGrid>
      <w:tr w:rsidR="00AB331A" w:rsidRPr="00C913A0" w:rsidTr="00A6592A">
        <w:tc>
          <w:tcPr>
            <w:tcW w:w="630" w:type="dxa"/>
            <w:shd w:val="clear" w:color="auto" w:fill="auto"/>
            <w:tcMar>
              <w:left w:w="0" w:type="dxa"/>
            </w:tcMar>
          </w:tcPr>
          <w:p w:rsidR="00AB331A" w:rsidRPr="00C913A0" w:rsidRDefault="00AB331A" w:rsidP="00CD7B23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1163" w:type="dxa"/>
          </w:tcPr>
          <w:p w:rsidR="00AB331A" w:rsidRPr="000745FD" w:rsidRDefault="00AB331A" w:rsidP="00CD7B23">
            <w:pPr>
              <w:pStyle w:val="Listenabsatz"/>
              <w:keepNext/>
              <w:keepLines/>
              <w:numPr>
                <w:ilvl w:val="0"/>
                <w:numId w:val="8"/>
              </w:numPr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249" w:type="dxa"/>
            <w:shd w:val="clear" w:color="auto" w:fill="auto"/>
          </w:tcPr>
          <w:p w:rsidR="00AB331A" w:rsidRPr="00C913A0" w:rsidRDefault="00AB331A" w:rsidP="00CD7B23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</w:p>
        </w:tc>
        <w:tc>
          <w:tcPr>
            <w:tcW w:w="293" w:type="dxa"/>
            <w:shd w:val="clear" w:color="auto" w:fill="auto"/>
          </w:tcPr>
          <w:p w:rsidR="00AB331A" w:rsidRPr="00C913A0" w:rsidRDefault="00AB331A" w:rsidP="00CD7B23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143" w:type="dxa"/>
          </w:tcPr>
          <w:p w:rsidR="00AB331A" w:rsidRPr="000745FD" w:rsidRDefault="00AB331A" w:rsidP="00CD7B23">
            <w:pPr>
              <w:pStyle w:val="Listenabsatz"/>
              <w:keepNext/>
              <w:keepLines/>
              <w:numPr>
                <w:ilvl w:val="0"/>
                <w:numId w:val="8"/>
              </w:numPr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702" w:type="dxa"/>
            <w:shd w:val="clear" w:color="auto" w:fill="auto"/>
          </w:tcPr>
          <w:p w:rsidR="00AB331A" w:rsidRPr="00C913A0" w:rsidRDefault="00AB331A" w:rsidP="00CD7B23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</w:tr>
    </w:tbl>
    <w:p w:rsidR="00AB331A" w:rsidRPr="008B073C" w:rsidRDefault="00AB331A" w:rsidP="00B272E8">
      <w:pPr>
        <w:pStyle w:val="Endnotentext"/>
        <w:rPr>
          <w:sz w:val="2"/>
          <w:szCs w:val="2"/>
        </w:rPr>
      </w:pPr>
    </w:p>
  </w:endnote>
  <w:endnote w:id="2">
    <w:p w:rsidR="00AB331A" w:rsidRPr="007B339B" w:rsidRDefault="00AB331A" w:rsidP="009D04E0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1A" w:rsidRPr="00357D48" w:rsidRDefault="00AB331A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AB331A" w:rsidRDefault="00AB331A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AB331A" w:rsidRDefault="00AB33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1A" w:rsidRDefault="00AB331A">
      <w:r>
        <w:separator/>
      </w:r>
    </w:p>
  </w:footnote>
  <w:footnote w:type="continuationSeparator" w:id="0">
    <w:p w:rsidR="00AB331A" w:rsidRDefault="00AB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AB331A" w:rsidRPr="004E27C4" w:rsidTr="00ED5133">
      <w:trPr>
        <w:cantSplit/>
      </w:trPr>
      <w:tc>
        <w:tcPr>
          <w:tcW w:w="2052" w:type="dxa"/>
          <w:vMerge w:val="restart"/>
          <w:vAlign w:val="center"/>
        </w:tcPr>
        <w:p w:rsidR="00AB331A" w:rsidRPr="006B07B0" w:rsidRDefault="00AB331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AB331A" w:rsidRDefault="00AB331A" w:rsidP="005A141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Fachbereich</w:t>
          </w:r>
        </w:p>
        <w:p w:rsidR="00AB331A" w:rsidRPr="007B21CA" w:rsidRDefault="00AB331A" w:rsidP="00DC5D22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Forensische Medizin/</w:t>
          </w:r>
          <w:r w:rsidRPr="00031FE2">
            <w:rPr>
              <w:b/>
            </w:rPr>
            <w:t>Toxikolo</w:t>
          </w:r>
          <w:r>
            <w:rPr>
              <w:b/>
            </w:rPr>
            <w:t>gie/</w:t>
          </w:r>
          <w:r w:rsidRPr="00031FE2">
            <w:rPr>
              <w:b/>
            </w:rPr>
            <w:t>Biologie</w:t>
          </w:r>
        </w:p>
      </w:tc>
      <w:tc>
        <w:tcPr>
          <w:tcW w:w="2348" w:type="dxa"/>
          <w:gridSpan w:val="2"/>
        </w:tcPr>
        <w:p w:rsidR="00AB331A" w:rsidRPr="00DC5D22" w:rsidRDefault="00AB331A" w:rsidP="008A6046">
          <w:pPr>
            <w:pStyle w:val="Kopfzeile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FO-BU_0</w:t>
          </w:r>
          <w:r w:rsidRPr="00DC5D22">
            <w:rPr>
              <w:rFonts w:ascii="Calibri" w:hAnsi="Calibri" w:cs="Arial"/>
              <w:sz w:val="18"/>
              <w:szCs w:val="18"/>
            </w:rPr>
            <w:t>19</w:t>
          </w:r>
        </w:p>
      </w:tc>
    </w:tr>
    <w:tr w:rsidR="00AB331A" w:rsidRPr="004E27C4" w:rsidTr="00ED5133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AB331A" w:rsidRPr="00DC5D22" w:rsidRDefault="00AB331A" w:rsidP="000649C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DC5D22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AB331A" w:rsidRPr="00732443" w:rsidTr="00ED5133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B331A" w:rsidRPr="00BE14FC" w:rsidRDefault="00AB331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AB331A" w:rsidRPr="00DC5D22" w:rsidRDefault="00AB331A" w:rsidP="00DC5D2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AB331A" w:rsidRPr="004E27C4" w:rsidTr="00ED5133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CD7B23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CD7B23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AB331A" w:rsidRPr="002944E8" w:rsidRDefault="00AB331A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AB331A" w:rsidRPr="004E27C4">
      <w:trPr>
        <w:cantSplit/>
      </w:trPr>
      <w:tc>
        <w:tcPr>
          <w:tcW w:w="2770" w:type="dxa"/>
          <w:vMerge w:val="restart"/>
          <w:vAlign w:val="center"/>
        </w:tcPr>
        <w:p w:rsidR="00AB331A" w:rsidRPr="006B07B0" w:rsidRDefault="00AB331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6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B331A" w:rsidRPr="004E27C4" w:rsidRDefault="00AB331A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AB331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AB331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AB331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AB331A" w:rsidRPr="006B07B0" w:rsidRDefault="00AB331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AB331A" w:rsidRPr="006B07B0" w:rsidRDefault="00AB331A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AB331A" w:rsidRPr="004E27C4" w:rsidRDefault="00AB33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ilhec6n4znGtrdX1jLI0PQMu8GAvLMtt/Gaa/Kb0m3w0MS5mpAm3mzEuF4EdCDur9lFY4ekE4RYd+QMbqUjudQ==" w:salt="BRUoF9WfnmHpOjOwjRDj5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4094"/>
    <w:rsid w:val="00027AA9"/>
    <w:rsid w:val="00030134"/>
    <w:rsid w:val="00031FE2"/>
    <w:rsid w:val="00032054"/>
    <w:rsid w:val="00033E0C"/>
    <w:rsid w:val="000466A1"/>
    <w:rsid w:val="00051454"/>
    <w:rsid w:val="00056621"/>
    <w:rsid w:val="000649C1"/>
    <w:rsid w:val="000745FD"/>
    <w:rsid w:val="000A3751"/>
    <w:rsid w:val="000C0851"/>
    <w:rsid w:val="000C492D"/>
    <w:rsid w:val="000E5927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66622"/>
    <w:rsid w:val="00186218"/>
    <w:rsid w:val="00191A76"/>
    <w:rsid w:val="001B55B1"/>
    <w:rsid w:val="001F2026"/>
    <w:rsid w:val="0020242D"/>
    <w:rsid w:val="002062C1"/>
    <w:rsid w:val="002259EC"/>
    <w:rsid w:val="00233C9B"/>
    <w:rsid w:val="00235E1D"/>
    <w:rsid w:val="00243E20"/>
    <w:rsid w:val="00252E43"/>
    <w:rsid w:val="0025466F"/>
    <w:rsid w:val="002609C5"/>
    <w:rsid w:val="00263D14"/>
    <w:rsid w:val="00267865"/>
    <w:rsid w:val="0027351C"/>
    <w:rsid w:val="002863EA"/>
    <w:rsid w:val="00291DCB"/>
    <w:rsid w:val="002944E8"/>
    <w:rsid w:val="002A075E"/>
    <w:rsid w:val="002A3FE9"/>
    <w:rsid w:val="002D2666"/>
    <w:rsid w:val="002D7ECA"/>
    <w:rsid w:val="002E1C85"/>
    <w:rsid w:val="002F27FD"/>
    <w:rsid w:val="002F7679"/>
    <w:rsid w:val="002F77D2"/>
    <w:rsid w:val="003143C8"/>
    <w:rsid w:val="0031579C"/>
    <w:rsid w:val="003173F2"/>
    <w:rsid w:val="003274C9"/>
    <w:rsid w:val="00340C9F"/>
    <w:rsid w:val="00341397"/>
    <w:rsid w:val="0034313B"/>
    <w:rsid w:val="00353812"/>
    <w:rsid w:val="00364DA3"/>
    <w:rsid w:val="0036609A"/>
    <w:rsid w:val="00370480"/>
    <w:rsid w:val="00383BC1"/>
    <w:rsid w:val="003A0680"/>
    <w:rsid w:val="003B02F8"/>
    <w:rsid w:val="003B58BC"/>
    <w:rsid w:val="003F5518"/>
    <w:rsid w:val="003F7E38"/>
    <w:rsid w:val="00412731"/>
    <w:rsid w:val="004135ED"/>
    <w:rsid w:val="00416A9F"/>
    <w:rsid w:val="00452614"/>
    <w:rsid w:val="00455C0E"/>
    <w:rsid w:val="00477CC4"/>
    <w:rsid w:val="00494F3F"/>
    <w:rsid w:val="004A489B"/>
    <w:rsid w:val="004B0DA1"/>
    <w:rsid w:val="004C34A2"/>
    <w:rsid w:val="004D2C96"/>
    <w:rsid w:val="005004E8"/>
    <w:rsid w:val="005035F7"/>
    <w:rsid w:val="00527BB2"/>
    <w:rsid w:val="0056070E"/>
    <w:rsid w:val="00572BE3"/>
    <w:rsid w:val="00590612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82633"/>
    <w:rsid w:val="00783637"/>
    <w:rsid w:val="0079080A"/>
    <w:rsid w:val="007925E4"/>
    <w:rsid w:val="0079348C"/>
    <w:rsid w:val="00796F47"/>
    <w:rsid w:val="007A72F7"/>
    <w:rsid w:val="007B056E"/>
    <w:rsid w:val="007B21CA"/>
    <w:rsid w:val="007D0494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46D1F"/>
    <w:rsid w:val="00861774"/>
    <w:rsid w:val="00861AB4"/>
    <w:rsid w:val="00862841"/>
    <w:rsid w:val="00891429"/>
    <w:rsid w:val="00894099"/>
    <w:rsid w:val="008965EE"/>
    <w:rsid w:val="0089678F"/>
    <w:rsid w:val="008A6046"/>
    <w:rsid w:val="008B109F"/>
    <w:rsid w:val="008C25D0"/>
    <w:rsid w:val="008C40FC"/>
    <w:rsid w:val="008D0BFC"/>
    <w:rsid w:val="008D325A"/>
    <w:rsid w:val="008E0417"/>
    <w:rsid w:val="008E1AF8"/>
    <w:rsid w:val="008F491F"/>
    <w:rsid w:val="00920265"/>
    <w:rsid w:val="00926C17"/>
    <w:rsid w:val="0094400D"/>
    <w:rsid w:val="00947CF3"/>
    <w:rsid w:val="009524A1"/>
    <w:rsid w:val="00976681"/>
    <w:rsid w:val="00991AC2"/>
    <w:rsid w:val="009952F3"/>
    <w:rsid w:val="009B0F6E"/>
    <w:rsid w:val="009B2725"/>
    <w:rsid w:val="009C7EFE"/>
    <w:rsid w:val="009D04E0"/>
    <w:rsid w:val="009E3FD8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6592A"/>
    <w:rsid w:val="00A723DA"/>
    <w:rsid w:val="00AA0476"/>
    <w:rsid w:val="00AA182E"/>
    <w:rsid w:val="00AA5064"/>
    <w:rsid w:val="00AA7136"/>
    <w:rsid w:val="00AB0F6E"/>
    <w:rsid w:val="00AB331A"/>
    <w:rsid w:val="00AB46CB"/>
    <w:rsid w:val="00AC1B2B"/>
    <w:rsid w:val="00AE4FF9"/>
    <w:rsid w:val="00AF06E9"/>
    <w:rsid w:val="00B1618B"/>
    <w:rsid w:val="00B272E8"/>
    <w:rsid w:val="00B50323"/>
    <w:rsid w:val="00B5106E"/>
    <w:rsid w:val="00B51096"/>
    <w:rsid w:val="00B63A58"/>
    <w:rsid w:val="00B826FE"/>
    <w:rsid w:val="00B84EBA"/>
    <w:rsid w:val="00B905B9"/>
    <w:rsid w:val="00B91EDC"/>
    <w:rsid w:val="00BA6038"/>
    <w:rsid w:val="00BB534E"/>
    <w:rsid w:val="00BE14FC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B0EBB"/>
    <w:rsid w:val="00CB525E"/>
    <w:rsid w:val="00CC5B0D"/>
    <w:rsid w:val="00CD0463"/>
    <w:rsid w:val="00CD7B23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75637"/>
    <w:rsid w:val="00DA117D"/>
    <w:rsid w:val="00DA6F1A"/>
    <w:rsid w:val="00DA7B9A"/>
    <w:rsid w:val="00DB7283"/>
    <w:rsid w:val="00DC3B97"/>
    <w:rsid w:val="00DC5D22"/>
    <w:rsid w:val="00DD1EA9"/>
    <w:rsid w:val="00E16AAA"/>
    <w:rsid w:val="00E24FA1"/>
    <w:rsid w:val="00E26211"/>
    <w:rsid w:val="00E306D0"/>
    <w:rsid w:val="00E31980"/>
    <w:rsid w:val="00E33B4F"/>
    <w:rsid w:val="00E34D10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5E62"/>
    <w:rsid w:val="00EA69CE"/>
    <w:rsid w:val="00EC00B0"/>
    <w:rsid w:val="00EC14F6"/>
    <w:rsid w:val="00EC539B"/>
    <w:rsid w:val="00ED5133"/>
    <w:rsid w:val="00EE15D1"/>
    <w:rsid w:val="00EE7722"/>
    <w:rsid w:val="00EF0CD2"/>
    <w:rsid w:val="00F06C53"/>
    <w:rsid w:val="00F10702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06B0-387A-4B04-A157-42494EFC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15</cp:revision>
  <cp:lastPrinted>2017-05-03T06:46:00Z</cp:lastPrinted>
  <dcterms:created xsi:type="dcterms:W3CDTF">2019-05-16T08:56:00Z</dcterms:created>
  <dcterms:modified xsi:type="dcterms:W3CDTF">2023-02-24T16:02:00Z</dcterms:modified>
</cp:coreProperties>
</file>